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方正小标宋简体" w:cs="Arial"/>
          <w:sz w:val="72"/>
          <w:szCs w:val="72"/>
        </w:rPr>
      </w:pPr>
      <w:r>
        <w:rPr>
          <w:rFonts w:hint="eastAsia" w:ascii="Arial" w:hAnsi="Arial" w:eastAsia="方正小标宋简体" w:cs="Arial"/>
          <w:sz w:val="72"/>
          <w:szCs w:val="72"/>
        </w:rPr>
        <w:t xml:space="preserve">     </w:t>
      </w:r>
    </w:p>
    <w:p>
      <w:pPr>
        <w:jc w:val="center"/>
        <w:rPr>
          <w:rFonts w:ascii="Arial" w:hAnsi="Arial" w:eastAsia="方正小标宋简体" w:cs="Arial"/>
          <w:sz w:val="72"/>
          <w:szCs w:val="72"/>
        </w:rPr>
      </w:pPr>
      <w:r>
        <w:rPr>
          <w:rFonts w:hint="eastAsia" w:ascii="Arial" w:hAnsi="Arial" w:eastAsia="方正小标宋简体" w:cs="Arial"/>
          <w:sz w:val="72"/>
          <w:szCs w:val="72"/>
        </w:rPr>
        <w:t>2023年度</w:t>
      </w:r>
    </w:p>
    <w:p>
      <w:pPr>
        <w:jc w:val="center"/>
        <w:rPr>
          <w:rFonts w:ascii="Arial" w:hAnsi="Arial" w:cs="Arial"/>
          <w:sz w:val="72"/>
          <w:szCs w:val="72"/>
        </w:rPr>
      </w:pPr>
      <w:bookmarkStart w:id="3" w:name="_GoBack"/>
      <w:bookmarkEnd w:id="3"/>
    </w:p>
    <w:p>
      <w:pPr>
        <w:jc w:val="center"/>
        <w:rPr>
          <w:rFonts w:ascii="Arial" w:hAnsi="Arial" w:eastAsia="方正小标宋简体" w:cs="Arial"/>
          <w:sz w:val="72"/>
          <w:szCs w:val="72"/>
        </w:rPr>
      </w:pPr>
      <w:r>
        <w:rPr>
          <w:rFonts w:hint="eastAsia" w:ascii="Arial" w:hAnsi="Arial" w:eastAsia="方正小标宋简体" w:cs="Arial"/>
          <w:sz w:val="72"/>
          <w:szCs w:val="72"/>
        </w:rPr>
        <w:t>大安市政府预算</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黑体" w:hAnsi="黑体" w:eastAsia="黑体"/>
          <w:sz w:val="52"/>
          <w:szCs w:val="52"/>
        </w:rPr>
      </w:pPr>
      <w:r>
        <w:rPr>
          <w:rFonts w:ascii="Arial" w:hAnsi="Arial" w:eastAsia="方正小标宋简体" w:cs="Arial"/>
          <w:sz w:val="44"/>
          <w:szCs w:val="44"/>
        </w:rPr>
        <w:t>20</w:t>
      </w:r>
      <w:r>
        <w:rPr>
          <w:rFonts w:hint="eastAsia" w:ascii="Arial" w:hAnsi="Arial" w:eastAsia="方正小标宋简体" w:cs="Arial"/>
          <w:sz w:val="44"/>
          <w:szCs w:val="44"/>
        </w:rPr>
        <w:t>23</w:t>
      </w:r>
      <w:r>
        <w:rPr>
          <w:rFonts w:ascii="Arial" w:hAnsi="Arial" w:eastAsia="方正小标宋简体" w:cs="Arial"/>
          <w:sz w:val="44"/>
          <w:szCs w:val="44"/>
        </w:rPr>
        <w:t>年</w:t>
      </w: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     录</w:t>
      </w:r>
    </w:p>
    <w:p>
      <w:pPr>
        <w:spacing w:line="540" w:lineRule="exact"/>
        <w:rPr>
          <w:rFonts w:ascii="黑体" w:hAnsi="黑体" w:eastAsia="黑体"/>
          <w:sz w:val="28"/>
          <w:szCs w:val="28"/>
        </w:rPr>
      </w:pPr>
      <w:r>
        <w:rPr>
          <w:rFonts w:hint="eastAsia" w:ascii="黑体" w:hAnsi="黑体" w:eastAsia="黑体"/>
          <w:sz w:val="28"/>
          <w:szCs w:val="28"/>
        </w:rPr>
        <w:t>第一部分   2023年预算草案报告</w:t>
      </w:r>
    </w:p>
    <w:p>
      <w:pPr>
        <w:spacing w:line="540" w:lineRule="exact"/>
        <w:rPr>
          <w:rFonts w:ascii="黑体" w:hAnsi="黑体" w:eastAsia="黑体"/>
          <w:sz w:val="28"/>
          <w:szCs w:val="28"/>
        </w:rPr>
      </w:pPr>
      <w:bookmarkStart w:id="0" w:name="OLE_LINK3"/>
      <w:r>
        <w:rPr>
          <w:rFonts w:hint="eastAsia" w:ascii="黑体" w:hAnsi="黑体" w:eastAsia="黑体"/>
          <w:sz w:val="28"/>
          <w:szCs w:val="28"/>
        </w:rPr>
        <w:t>第二部分  一般公共预算</w:t>
      </w:r>
    </w:p>
    <w:bookmarkEnd w:id="0"/>
    <w:p>
      <w:pPr>
        <w:pStyle w:val="12"/>
        <w:numPr>
          <w:ilvl w:val="0"/>
          <w:numId w:val="1"/>
        </w:numPr>
        <w:spacing w:line="540" w:lineRule="exact"/>
        <w:ind w:hanging="6" w:firstLineChars="0"/>
        <w:rPr>
          <w:sz w:val="28"/>
          <w:szCs w:val="28"/>
        </w:rPr>
      </w:pPr>
      <w:r>
        <w:rPr>
          <w:rFonts w:hint="eastAsia"/>
          <w:sz w:val="28"/>
          <w:szCs w:val="28"/>
        </w:rPr>
        <w:t>一般公共预算收入表</w:t>
      </w:r>
    </w:p>
    <w:p>
      <w:pPr>
        <w:pStyle w:val="12"/>
        <w:numPr>
          <w:ilvl w:val="0"/>
          <w:numId w:val="1"/>
        </w:numPr>
        <w:spacing w:line="540" w:lineRule="exact"/>
        <w:ind w:hanging="6" w:firstLineChars="0"/>
        <w:rPr>
          <w:sz w:val="28"/>
          <w:szCs w:val="28"/>
        </w:rPr>
      </w:pPr>
      <w:r>
        <w:rPr>
          <w:rFonts w:hint="eastAsia"/>
          <w:sz w:val="28"/>
          <w:szCs w:val="28"/>
        </w:rPr>
        <w:t>一般公共预算支出表</w:t>
      </w:r>
    </w:p>
    <w:p>
      <w:pPr>
        <w:pStyle w:val="12"/>
        <w:numPr>
          <w:ilvl w:val="0"/>
          <w:numId w:val="1"/>
        </w:numPr>
        <w:spacing w:line="540" w:lineRule="exact"/>
        <w:ind w:hanging="6" w:firstLineChars="0"/>
        <w:rPr>
          <w:sz w:val="28"/>
          <w:szCs w:val="28"/>
        </w:rPr>
      </w:pPr>
      <w:r>
        <w:rPr>
          <w:rFonts w:hint="eastAsia"/>
          <w:sz w:val="28"/>
          <w:szCs w:val="28"/>
        </w:rPr>
        <w:t>一般公共预算本级支出表</w:t>
      </w:r>
    </w:p>
    <w:p>
      <w:pPr>
        <w:pStyle w:val="12"/>
        <w:numPr>
          <w:ilvl w:val="0"/>
          <w:numId w:val="1"/>
        </w:numPr>
        <w:spacing w:line="540" w:lineRule="exact"/>
        <w:ind w:hanging="6" w:firstLineChars="0"/>
        <w:rPr>
          <w:sz w:val="28"/>
          <w:szCs w:val="28"/>
        </w:rPr>
      </w:pPr>
      <w:r>
        <w:rPr>
          <w:rFonts w:hint="eastAsia"/>
          <w:sz w:val="28"/>
          <w:szCs w:val="28"/>
        </w:rPr>
        <w:t>一般公共预算本级基本支出表</w:t>
      </w:r>
    </w:p>
    <w:p>
      <w:pPr>
        <w:pStyle w:val="12"/>
        <w:numPr>
          <w:ilvl w:val="0"/>
          <w:numId w:val="1"/>
        </w:numPr>
        <w:spacing w:line="540" w:lineRule="exact"/>
        <w:ind w:hanging="6" w:firstLineChars="0"/>
        <w:rPr>
          <w:sz w:val="28"/>
          <w:szCs w:val="28"/>
        </w:rPr>
      </w:pPr>
      <w:r>
        <w:rPr>
          <w:rFonts w:hint="eastAsia"/>
          <w:sz w:val="28"/>
          <w:szCs w:val="28"/>
        </w:rPr>
        <w:t>一般公共预算税收返还和转移支付表</w:t>
      </w:r>
    </w:p>
    <w:p>
      <w:pPr>
        <w:pStyle w:val="12"/>
        <w:numPr>
          <w:ilvl w:val="0"/>
          <w:numId w:val="1"/>
        </w:numPr>
        <w:spacing w:line="540" w:lineRule="exact"/>
        <w:ind w:hanging="6" w:firstLineChars="0"/>
        <w:rPr>
          <w:sz w:val="28"/>
          <w:szCs w:val="28"/>
        </w:rPr>
      </w:pPr>
      <w:bookmarkStart w:id="1" w:name="OLE_LINK1"/>
      <w:bookmarkStart w:id="2" w:name="OLE_LINK2"/>
      <w:r>
        <w:rPr>
          <w:rFonts w:hint="eastAsia"/>
          <w:sz w:val="28"/>
          <w:szCs w:val="28"/>
        </w:rPr>
        <w:t>政府一般债务限额和余额情况表</w:t>
      </w:r>
    </w:p>
    <w:bookmarkEnd w:id="1"/>
    <w:bookmarkEnd w:id="2"/>
    <w:p>
      <w:pPr>
        <w:spacing w:line="540" w:lineRule="exact"/>
        <w:rPr>
          <w:rFonts w:ascii="黑体" w:hAnsi="黑体" w:eastAsia="黑体"/>
          <w:sz w:val="28"/>
          <w:szCs w:val="28"/>
        </w:rPr>
      </w:pPr>
      <w:r>
        <w:rPr>
          <w:rFonts w:hint="eastAsia" w:ascii="黑体" w:hAnsi="黑体" w:eastAsia="黑体"/>
          <w:sz w:val="28"/>
          <w:szCs w:val="28"/>
        </w:rPr>
        <w:t>第三部分  政府性基金预算</w:t>
      </w:r>
    </w:p>
    <w:p>
      <w:pPr>
        <w:pStyle w:val="12"/>
        <w:numPr>
          <w:ilvl w:val="0"/>
          <w:numId w:val="2"/>
        </w:numPr>
        <w:spacing w:line="540" w:lineRule="exact"/>
        <w:ind w:hanging="6" w:firstLineChars="0"/>
        <w:rPr>
          <w:sz w:val="28"/>
          <w:szCs w:val="28"/>
        </w:rPr>
      </w:pPr>
      <w:r>
        <w:rPr>
          <w:rFonts w:hint="eastAsia"/>
          <w:sz w:val="28"/>
          <w:szCs w:val="28"/>
        </w:rPr>
        <w:t>政府性基金收入表</w:t>
      </w:r>
    </w:p>
    <w:p>
      <w:pPr>
        <w:pStyle w:val="12"/>
        <w:numPr>
          <w:ilvl w:val="0"/>
          <w:numId w:val="2"/>
        </w:numPr>
        <w:spacing w:line="540" w:lineRule="exact"/>
        <w:ind w:hanging="6" w:firstLineChars="0"/>
        <w:rPr>
          <w:sz w:val="28"/>
          <w:szCs w:val="28"/>
        </w:rPr>
      </w:pPr>
      <w:r>
        <w:rPr>
          <w:rFonts w:hint="eastAsia"/>
          <w:sz w:val="28"/>
          <w:szCs w:val="28"/>
        </w:rPr>
        <w:t>政府性基金支出表</w:t>
      </w:r>
    </w:p>
    <w:p>
      <w:pPr>
        <w:pStyle w:val="12"/>
        <w:numPr>
          <w:ilvl w:val="0"/>
          <w:numId w:val="2"/>
        </w:numPr>
        <w:spacing w:line="540" w:lineRule="exact"/>
        <w:ind w:hanging="6" w:firstLineChars="0"/>
        <w:rPr>
          <w:sz w:val="28"/>
          <w:szCs w:val="28"/>
        </w:rPr>
      </w:pPr>
      <w:r>
        <w:rPr>
          <w:rFonts w:hint="eastAsia"/>
          <w:sz w:val="28"/>
          <w:szCs w:val="28"/>
        </w:rPr>
        <w:t>政府性基金转移支付表</w:t>
      </w:r>
    </w:p>
    <w:p>
      <w:pPr>
        <w:pStyle w:val="12"/>
        <w:numPr>
          <w:ilvl w:val="0"/>
          <w:numId w:val="2"/>
        </w:numPr>
        <w:spacing w:line="540" w:lineRule="exact"/>
        <w:ind w:hanging="6" w:firstLineChars="0"/>
        <w:rPr>
          <w:sz w:val="28"/>
          <w:szCs w:val="28"/>
        </w:rPr>
      </w:pPr>
      <w:r>
        <w:rPr>
          <w:rFonts w:hint="eastAsia"/>
          <w:sz w:val="28"/>
          <w:szCs w:val="28"/>
        </w:rPr>
        <w:t>政府性基金本级支出表</w:t>
      </w:r>
    </w:p>
    <w:p>
      <w:pPr>
        <w:pStyle w:val="12"/>
        <w:numPr>
          <w:ilvl w:val="0"/>
          <w:numId w:val="2"/>
        </w:numPr>
        <w:spacing w:line="540" w:lineRule="exact"/>
        <w:ind w:hanging="6" w:firstLineChars="0"/>
        <w:rPr>
          <w:sz w:val="28"/>
          <w:szCs w:val="28"/>
        </w:rPr>
      </w:pPr>
      <w:r>
        <w:rPr>
          <w:rFonts w:hint="eastAsia"/>
          <w:sz w:val="28"/>
          <w:szCs w:val="28"/>
        </w:rPr>
        <w:t>政府专项债务限额和余额情况表</w:t>
      </w:r>
    </w:p>
    <w:p>
      <w:pPr>
        <w:spacing w:line="540" w:lineRule="exact"/>
        <w:rPr>
          <w:rFonts w:ascii="黑体" w:hAnsi="黑体" w:eastAsia="黑体"/>
          <w:sz w:val="28"/>
          <w:szCs w:val="28"/>
        </w:rPr>
      </w:pPr>
      <w:r>
        <w:rPr>
          <w:rFonts w:hint="eastAsia" w:ascii="黑体" w:hAnsi="黑体" w:eastAsia="黑体"/>
          <w:sz w:val="28"/>
          <w:szCs w:val="28"/>
        </w:rPr>
        <w:t>第四部分 国有资本经营预算</w:t>
      </w:r>
    </w:p>
    <w:p>
      <w:pPr>
        <w:pStyle w:val="12"/>
        <w:numPr>
          <w:ilvl w:val="0"/>
          <w:numId w:val="3"/>
        </w:numPr>
        <w:spacing w:line="540" w:lineRule="exact"/>
        <w:ind w:hanging="6" w:firstLineChars="0"/>
        <w:rPr>
          <w:sz w:val="28"/>
          <w:szCs w:val="28"/>
        </w:rPr>
      </w:pPr>
      <w:r>
        <w:rPr>
          <w:rFonts w:hint="eastAsia"/>
          <w:sz w:val="28"/>
          <w:szCs w:val="28"/>
        </w:rPr>
        <w:t>国有资本经营预算收入表</w:t>
      </w:r>
    </w:p>
    <w:p>
      <w:pPr>
        <w:pStyle w:val="12"/>
        <w:numPr>
          <w:ilvl w:val="0"/>
          <w:numId w:val="3"/>
        </w:numPr>
        <w:spacing w:line="540" w:lineRule="exact"/>
        <w:ind w:hanging="6" w:firstLineChars="0"/>
        <w:rPr>
          <w:sz w:val="28"/>
          <w:szCs w:val="28"/>
        </w:rPr>
      </w:pPr>
      <w:r>
        <w:rPr>
          <w:rFonts w:hint="eastAsia"/>
          <w:sz w:val="28"/>
          <w:szCs w:val="28"/>
        </w:rPr>
        <w:t>国有资本经营预算支出表</w:t>
      </w:r>
    </w:p>
    <w:p>
      <w:pPr>
        <w:spacing w:line="540" w:lineRule="exact"/>
        <w:rPr>
          <w:rFonts w:ascii="黑体" w:hAnsi="黑体" w:eastAsia="黑体"/>
          <w:sz w:val="28"/>
          <w:szCs w:val="28"/>
        </w:rPr>
      </w:pPr>
      <w:r>
        <w:rPr>
          <w:rFonts w:hint="eastAsia" w:ascii="黑体" w:hAnsi="黑体" w:eastAsia="黑体"/>
          <w:sz w:val="28"/>
          <w:szCs w:val="28"/>
        </w:rPr>
        <w:t>第五部分 社会保险基金预算</w:t>
      </w:r>
    </w:p>
    <w:p>
      <w:pPr>
        <w:pStyle w:val="12"/>
        <w:numPr>
          <w:ilvl w:val="0"/>
          <w:numId w:val="4"/>
        </w:numPr>
        <w:spacing w:line="540" w:lineRule="exact"/>
        <w:ind w:hanging="6" w:firstLineChars="0"/>
        <w:rPr>
          <w:sz w:val="28"/>
          <w:szCs w:val="28"/>
        </w:rPr>
      </w:pPr>
      <w:r>
        <w:rPr>
          <w:rFonts w:hint="eastAsia"/>
          <w:sz w:val="28"/>
          <w:szCs w:val="28"/>
        </w:rPr>
        <w:t>社会保险基金收入表</w:t>
      </w:r>
    </w:p>
    <w:p>
      <w:pPr>
        <w:pStyle w:val="12"/>
        <w:numPr>
          <w:ilvl w:val="0"/>
          <w:numId w:val="4"/>
        </w:numPr>
        <w:spacing w:line="540" w:lineRule="exact"/>
        <w:ind w:hanging="6" w:firstLineChars="0"/>
        <w:rPr>
          <w:sz w:val="28"/>
          <w:szCs w:val="28"/>
        </w:rPr>
      </w:pPr>
      <w:r>
        <w:rPr>
          <w:rFonts w:hint="eastAsia"/>
          <w:sz w:val="28"/>
          <w:szCs w:val="28"/>
        </w:rPr>
        <w:t>社会保险基金支出表</w:t>
      </w:r>
    </w:p>
    <w:p>
      <w:pPr>
        <w:spacing w:line="540" w:lineRule="exact"/>
        <w:rPr>
          <w:rFonts w:ascii="黑体" w:hAnsi="黑体" w:eastAsia="黑体" w:cs="黑体"/>
          <w:sz w:val="28"/>
          <w:szCs w:val="28"/>
        </w:rPr>
      </w:pPr>
      <w:r>
        <w:rPr>
          <w:rFonts w:hint="eastAsia" w:ascii="黑体" w:hAnsi="黑体" w:eastAsia="黑体" w:cs="黑体"/>
          <w:sz w:val="28"/>
          <w:szCs w:val="28"/>
        </w:rPr>
        <w:t>第六部分 情况说明</w:t>
      </w:r>
    </w:p>
    <w:p>
      <w:pPr>
        <w:pStyle w:val="12"/>
        <w:numPr>
          <w:ilvl w:val="0"/>
          <w:numId w:val="5"/>
        </w:numPr>
        <w:spacing w:line="540" w:lineRule="exact"/>
        <w:ind w:hanging="6" w:firstLineChars="0"/>
        <w:rPr>
          <w:sz w:val="28"/>
          <w:szCs w:val="28"/>
        </w:rPr>
      </w:pPr>
      <w:r>
        <w:rPr>
          <w:sz w:val="28"/>
          <w:szCs w:val="28"/>
        </w:rPr>
        <w:t xml:space="preserve"> </w:t>
      </w:r>
      <w:r>
        <w:rPr>
          <w:rFonts w:hint="eastAsia"/>
          <w:sz w:val="28"/>
          <w:szCs w:val="28"/>
        </w:rPr>
        <w:t>转移支付情况说明</w:t>
      </w:r>
    </w:p>
    <w:p>
      <w:pPr>
        <w:pStyle w:val="12"/>
        <w:numPr>
          <w:ilvl w:val="0"/>
          <w:numId w:val="5"/>
        </w:numPr>
        <w:spacing w:line="540" w:lineRule="exact"/>
        <w:ind w:hanging="6" w:firstLineChars="0"/>
        <w:rPr>
          <w:sz w:val="28"/>
          <w:szCs w:val="28"/>
        </w:rPr>
      </w:pPr>
      <w:r>
        <w:rPr>
          <w:sz w:val="28"/>
          <w:szCs w:val="28"/>
        </w:rPr>
        <w:t xml:space="preserve"> </w:t>
      </w:r>
      <w:r>
        <w:rPr>
          <w:rFonts w:hint="eastAsia"/>
          <w:sz w:val="28"/>
          <w:szCs w:val="28"/>
        </w:rPr>
        <w:t>政府举借债务情况说明</w:t>
      </w:r>
    </w:p>
    <w:p>
      <w:pPr>
        <w:pStyle w:val="12"/>
        <w:spacing w:line="540" w:lineRule="exact"/>
        <w:ind w:firstLine="0" w:firstLineChars="0"/>
        <w:rPr>
          <w:sz w:val="28"/>
          <w:szCs w:val="28"/>
        </w:rPr>
      </w:pPr>
      <w:r>
        <w:rPr>
          <w:sz w:val="28"/>
          <w:szCs w:val="28"/>
        </w:rPr>
        <w:t xml:space="preserve">   </w:t>
      </w:r>
      <w:r>
        <w:rPr>
          <w:rFonts w:hint="eastAsia"/>
          <w:sz w:val="28"/>
          <w:szCs w:val="28"/>
        </w:rPr>
        <w:t>三、</w:t>
      </w:r>
      <w:r>
        <w:rPr>
          <w:sz w:val="28"/>
          <w:szCs w:val="28"/>
        </w:rPr>
        <w:t xml:space="preserve">  </w:t>
      </w:r>
      <w:r>
        <w:rPr>
          <w:rFonts w:hint="eastAsia"/>
          <w:sz w:val="28"/>
          <w:szCs w:val="28"/>
        </w:rPr>
        <w:t>“三公”经费预算安排情况说明</w:t>
      </w:r>
    </w:p>
    <w:p>
      <w:pPr>
        <w:spacing w:line="540" w:lineRule="exact"/>
        <w:jc w:val="center"/>
        <w:rPr>
          <w:rFonts w:ascii="黑体" w:hAnsi="黑体" w:eastAsia="黑体"/>
          <w:sz w:val="44"/>
          <w:szCs w:val="44"/>
        </w:rPr>
      </w:pPr>
    </w:p>
    <w:p>
      <w:pPr>
        <w:spacing w:line="540" w:lineRule="exact"/>
        <w:jc w:val="center"/>
        <w:rPr>
          <w:rFonts w:ascii="黑体" w:hAnsi="黑体" w:eastAsia="黑体"/>
          <w:sz w:val="28"/>
          <w:szCs w:val="28"/>
        </w:rPr>
      </w:pPr>
      <w:r>
        <w:rPr>
          <w:rFonts w:hint="eastAsia" w:ascii="黑体" w:hAnsi="黑体" w:eastAsia="黑体"/>
          <w:sz w:val="44"/>
          <w:szCs w:val="44"/>
        </w:rPr>
        <w:t>第一部分   2023年预算草案报告</w:t>
      </w:r>
    </w:p>
    <w:p>
      <w:pPr>
        <w:spacing w:line="400" w:lineRule="exact"/>
        <w:rPr>
          <w:rFonts w:ascii="新宋体" w:hAnsi="新宋体" w:eastAsia="新宋体"/>
          <w:b/>
          <w:color w:val="000000"/>
          <w:sz w:val="44"/>
          <w:szCs w:val="44"/>
        </w:rPr>
      </w:pPr>
    </w:p>
    <w:p>
      <w:pPr>
        <w:spacing w:line="560" w:lineRule="exact"/>
        <w:rPr>
          <w:rFonts w:ascii="Times New Roman" w:hAnsi="Times New Roman" w:eastAsia="方正大标宋简体" w:cs="Times New Roman"/>
          <w:b/>
          <w:sz w:val="44"/>
          <w:szCs w:val="44"/>
        </w:rPr>
      </w:pPr>
    </w:p>
    <w:p>
      <w:pPr>
        <w:spacing w:line="560" w:lineRule="exact"/>
        <w:rPr>
          <w:rFonts w:ascii="Times New Roman" w:hAnsi="Times New Roman" w:eastAsia="方正大标宋简体" w:cs="Times New Roman"/>
          <w:b/>
          <w:sz w:val="44"/>
          <w:szCs w:val="44"/>
        </w:rPr>
      </w:pPr>
    </w:p>
    <w:p>
      <w:pPr>
        <w:spacing w:line="560" w:lineRule="exact"/>
        <w:rPr>
          <w:rFonts w:ascii="Times New Roman" w:hAnsi="Times New Roman" w:eastAsia="方正大标宋简体" w:cs="Times New Roman"/>
          <w:b/>
          <w:sz w:val="44"/>
          <w:szCs w:val="44"/>
        </w:rPr>
      </w:pPr>
    </w:p>
    <w:p>
      <w:pPr>
        <w:spacing w:line="576" w:lineRule="exact"/>
        <w:jc w:val="center"/>
        <w:rPr>
          <w:rFonts w:ascii="楷体" w:hAnsi="楷体" w:eastAsia="楷体" w:cs="Times New Roman"/>
          <w:b/>
          <w:sz w:val="44"/>
          <w:szCs w:val="44"/>
        </w:rPr>
      </w:pPr>
      <w:r>
        <w:rPr>
          <w:rFonts w:hint="eastAsia" w:ascii="楷体" w:hAnsi="楷体" w:eastAsia="楷体" w:cs="Times New Roman"/>
          <w:b/>
          <w:sz w:val="44"/>
          <w:szCs w:val="44"/>
        </w:rPr>
        <w:t>大安市2022年预算执行情况</w:t>
      </w:r>
    </w:p>
    <w:p>
      <w:pPr>
        <w:spacing w:line="576" w:lineRule="exact"/>
        <w:jc w:val="center"/>
        <w:rPr>
          <w:rFonts w:ascii="楷体" w:hAnsi="楷体" w:eastAsia="楷体" w:cs="Times New Roman"/>
          <w:b/>
          <w:sz w:val="44"/>
          <w:szCs w:val="44"/>
        </w:rPr>
      </w:pPr>
      <w:r>
        <w:rPr>
          <w:rFonts w:hint="eastAsia" w:ascii="楷体" w:hAnsi="楷体" w:eastAsia="楷体" w:cs="Times New Roman"/>
          <w:b/>
          <w:sz w:val="44"/>
          <w:szCs w:val="44"/>
        </w:rPr>
        <w:t>和2023年预算草案的报告</w:t>
      </w:r>
    </w:p>
    <w:p>
      <w:pPr>
        <w:spacing w:line="560" w:lineRule="exact"/>
        <w:rPr>
          <w:rFonts w:ascii="Times New Roman" w:hAnsi="Times New Roman" w:eastAsia="方正大标宋简体" w:cs="Times New Roman"/>
          <w:b/>
          <w:sz w:val="44"/>
          <w:szCs w:val="44"/>
        </w:rPr>
      </w:pPr>
    </w:p>
    <w:p>
      <w:pPr>
        <w:spacing w:line="560" w:lineRule="exact"/>
        <w:rPr>
          <w:rFonts w:ascii="Times New Roman" w:hAnsi="Times New Roman" w:eastAsia="方正大标宋简体" w:cs="Times New Roman"/>
          <w:b/>
          <w:sz w:val="44"/>
          <w:szCs w:val="44"/>
        </w:rPr>
      </w:pP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一、202</w:t>
      </w:r>
      <w:r>
        <w:rPr>
          <w:rFonts w:hint="eastAsia" w:ascii="Times New Roman" w:hAnsi="Times New Roman" w:eastAsia="黑体" w:cs="Times New Roman"/>
          <w:bCs/>
          <w:color w:val="000000" w:themeColor="text1"/>
          <w:sz w:val="32"/>
          <w:szCs w:val="32"/>
          <w14:textFill>
            <w14:solidFill>
              <w14:schemeClr w14:val="tx1"/>
            </w14:solidFill>
          </w14:textFill>
        </w:rPr>
        <w:t>2</w:t>
      </w:r>
      <w:r>
        <w:rPr>
          <w:rFonts w:ascii="Times New Roman" w:hAnsi="Times New Roman" w:eastAsia="黑体" w:cs="Times New Roman"/>
          <w:bCs/>
          <w:color w:val="000000" w:themeColor="text1"/>
          <w:sz w:val="32"/>
          <w:szCs w:val="32"/>
          <w14:textFill>
            <w14:solidFill>
              <w14:schemeClr w14:val="tx1"/>
            </w14:solidFill>
          </w14:textFill>
        </w:rPr>
        <w:t>年预算执行情况</w:t>
      </w: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（一）一般公共预算收支情况</w:t>
      </w:r>
    </w:p>
    <w:p>
      <w:pPr>
        <w:spacing w:line="576"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一般公共预算地方级财政收入预计完成</w:t>
      </w:r>
      <w:r>
        <w:rPr>
          <w:rFonts w:hint="eastAsia" w:ascii="Times New Roman" w:hAnsi="Times New Roman" w:eastAsia="仿宋_GB2312" w:cs="Times New Roman"/>
          <w:color w:val="000000" w:themeColor="text1"/>
          <w:sz w:val="32"/>
          <w:szCs w:val="32"/>
          <w14:textFill>
            <w14:solidFill>
              <w14:schemeClr w14:val="tx1"/>
            </w14:solidFill>
          </w14:textFill>
        </w:rPr>
        <w:t>61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30</w:t>
      </w:r>
      <w:r>
        <w:rPr>
          <w:rFonts w:ascii="Times New Roman" w:hAnsi="Times New Roman" w:eastAsia="仿宋_GB2312" w:cs="Times New Roman"/>
          <w:color w:val="000000" w:themeColor="text1"/>
          <w:sz w:val="32"/>
          <w:szCs w:val="32"/>
          <w14:textFill>
            <w14:solidFill>
              <w14:schemeClr w14:val="tx1"/>
            </w14:solidFill>
          </w14:textFill>
        </w:rPr>
        <w:t>0万元，完成</w:t>
      </w:r>
      <w:r>
        <w:rPr>
          <w:rFonts w:hint="eastAsia" w:ascii="Times New Roman" w:hAnsi="Times New Roman" w:eastAsia="仿宋_GB2312" w:cs="Times New Roman"/>
          <w:color w:val="000000" w:themeColor="text1"/>
          <w:sz w:val="32"/>
          <w:szCs w:val="32"/>
          <w14:textFill>
            <w14:solidFill>
              <w14:schemeClr w14:val="tx1"/>
            </w14:solidFill>
          </w14:textFill>
        </w:rPr>
        <w:t>调整</w:t>
      </w:r>
      <w:r>
        <w:rPr>
          <w:rFonts w:ascii="Times New Roman" w:hAnsi="Times New Roman" w:eastAsia="仿宋_GB2312" w:cs="Times New Roman"/>
          <w:color w:val="000000" w:themeColor="text1"/>
          <w:sz w:val="32"/>
          <w:szCs w:val="32"/>
          <w14:textFill>
            <w14:solidFill>
              <w14:schemeClr w14:val="tx1"/>
            </w14:solidFill>
          </w14:textFill>
        </w:rPr>
        <w:t>预算的100 %，同比</w:t>
      </w:r>
      <w:r>
        <w:rPr>
          <w:rFonts w:hint="eastAsia" w:ascii="Times New Roman" w:hAnsi="Times New Roman" w:eastAsia="仿宋_GB2312" w:cs="Times New Roman"/>
          <w:color w:val="000000" w:themeColor="text1"/>
          <w:sz w:val="32"/>
          <w:szCs w:val="32"/>
          <w14:textFill>
            <w14:solidFill>
              <w14:schemeClr w14:val="tx1"/>
            </w14:solidFill>
          </w14:textFill>
        </w:rPr>
        <w:t>减少26</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132</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下降29.9</w:t>
      </w:r>
      <w:r>
        <w:rPr>
          <w:rFonts w:ascii="Times New Roman" w:hAnsi="Times New Roman" w:eastAsia="仿宋_GB2312" w:cs="Times New Roman"/>
          <w:color w:val="000000" w:themeColor="text1"/>
          <w:sz w:val="32"/>
          <w:szCs w:val="32"/>
          <w14:textFill>
            <w14:solidFill>
              <w14:schemeClr w14:val="tx1"/>
            </w14:solidFill>
          </w14:textFill>
        </w:rPr>
        <w:t>%。</w:t>
      </w:r>
    </w:p>
    <w:p>
      <w:pPr>
        <w:spacing w:line="576"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一般公共预算支出预计完成</w:t>
      </w:r>
      <w:r>
        <w:rPr>
          <w:rFonts w:hint="eastAsia" w:ascii="Times New Roman" w:hAnsi="Times New Roman" w:eastAsia="仿宋_GB2312" w:cs="Times New Roman"/>
          <w:color w:val="000000" w:themeColor="text1"/>
          <w:sz w:val="32"/>
          <w:szCs w:val="32"/>
          <w14:textFill>
            <w14:solidFill>
              <w14:schemeClr w14:val="tx1"/>
            </w14:solidFill>
          </w14:textFill>
        </w:rPr>
        <w:t>519</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700</w:t>
      </w:r>
      <w:r>
        <w:rPr>
          <w:rFonts w:ascii="Times New Roman" w:hAnsi="Times New Roman" w:eastAsia="仿宋_GB2312" w:cs="Times New Roman"/>
          <w:color w:val="000000" w:themeColor="text1"/>
          <w:sz w:val="32"/>
          <w:szCs w:val="32"/>
          <w14:textFill>
            <w14:solidFill>
              <w14:schemeClr w14:val="tx1"/>
            </w14:solidFill>
          </w14:textFill>
        </w:rPr>
        <w:t>万元，完成调整预算的</w:t>
      </w:r>
      <w:r>
        <w:rPr>
          <w:rFonts w:hint="eastAsia" w:ascii="Times New Roman" w:hAnsi="Times New Roman" w:eastAsia="仿宋_GB2312" w:cs="Times New Roman"/>
          <w:color w:val="000000" w:themeColor="text1"/>
          <w:sz w:val="32"/>
          <w:szCs w:val="32"/>
          <w14:textFill>
            <w14:solidFill>
              <w14:schemeClr w14:val="tx1"/>
            </w14:solidFill>
          </w14:textFill>
        </w:rPr>
        <w:t>98.1</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576"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一般公共预算地方级收入</w:t>
      </w:r>
      <w:r>
        <w:rPr>
          <w:rFonts w:hint="eastAsia" w:ascii="Times New Roman" w:hAnsi="Times New Roman" w:eastAsia="仿宋_GB2312" w:cs="Times New Roman"/>
          <w:color w:val="000000" w:themeColor="text1"/>
          <w:sz w:val="32"/>
          <w:szCs w:val="32"/>
          <w14:textFill>
            <w14:solidFill>
              <w14:schemeClr w14:val="tx1"/>
            </w14:solidFill>
          </w14:textFill>
        </w:rPr>
        <w:t>61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30</w:t>
      </w:r>
      <w:r>
        <w:rPr>
          <w:rFonts w:ascii="Times New Roman" w:hAnsi="Times New Roman" w:eastAsia="仿宋_GB2312" w:cs="Times New Roman"/>
          <w:color w:val="000000" w:themeColor="text1"/>
          <w:sz w:val="32"/>
          <w:szCs w:val="32"/>
          <w14:textFill>
            <w14:solidFill>
              <w14:schemeClr w14:val="tx1"/>
            </w14:solidFill>
          </w14:textFill>
        </w:rPr>
        <w:t>0万元，加上级补助收入</w:t>
      </w:r>
      <w:r>
        <w:rPr>
          <w:rFonts w:hint="eastAsia" w:ascii="Times New Roman" w:hAnsi="Times New Roman" w:eastAsia="仿宋_GB2312" w:cs="Times New Roman"/>
          <w:color w:val="000000" w:themeColor="text1"/>
          <w:sz w:val="32"/>
          <w:szCs w:val="32"/>
          <w14:textFill>
            <w14:solidFill>
              <w14:schemeClr w14:val="tx1"/>
            </w14:solidFill>
          </w14:textFill>
        </w:rPr>
        <w:t>414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00万元</w:t>
      </w:r>
      <w:r>
        <w:rPr>
          <w:rFonts w:hint="eastAsia" w:ascii="Times New Roman" w:hAnsi="Times New Roman" w:eastAsia="仿宋_GB2312" w:cs="Times New Roman"/>
          <w:color w:val="000000" w:themeColor="text1"/>
          <w:sz w:val="32"/>
          <w:szCs w:val="32"/>
          <w14:textFill>
            <w14:solidFill>
              <w14:schemeClr w14:val="tx1"/>
            </w14:solidFill>
          </w14:textFill>
        </w:rPr>
        <w:t>（含税收返还－4,833万元）</w:t>
      </w:r>
      <w:r>
        <w:rPr>
          <w:rFonts w:ascii="Times New Roman" w:hAnsi="Times New Roman" w:eastAsia="仿宋_GB2312" w:cs="Times New Roman"/>
          <w:color w:val="000000" w:themeColor="text1"/>
          <w:sz w:val="32"/>
          <w:szCs w:val="32"/>
          <w14:textFill>
            <w14:solidFill>
              <w14:schemeClr w14:val="tx1"/>
            </w14:solidFill>
          </w14:textFill>
        </w:rPr>
        <w:t>、债务转贷收入</w:t>
      </w:r>
      <w:r>
        <w:rPr>
          <w:rFonts w:hint="eastAsia" w:ascii="Times New Roman" w:hAnsi="Times New Roman" w:eastAsia="仿宋_GB2312" w:cs="Times New Roman"/>
          <w:color w:val="000000" w:themeColor="text1"/>
          <w:sz w:val="32"/>
          <w:szCs w:val="32"/>
          <w14:textFill>
            <w14:solidFill>
              <w14:schemeClr w14:val="tx1"/>
            </w14:solidFill>
          </w14:textFill>
        </w:rPr>
        <w:t>42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00万元、</w:t>
      </w:r>
      <w:r>
        <w:rPr>
          <w:rFonts w:hint="eastAsia" w:ascii="Times New Roman" w:hAnsi="Times New Roman" w:eastAsia="仿宋_GB2312" w:cs="Times New Roman"/>
          <w:color w:val="000000" w:themeColor="text1"/>
          <w:sz w:val="32"/>
          <w:szCs w:val="32"/>
          <w14:textFill>
            <w14:solidFill>
              <w14:schemeClr w14:val="tx1"/>
            </w14:solidFill>
          </w14:textFill>
        </w:rPr>
        <w:t>调入资金13,500万元，</w:t>
      </w:r>
      <w:r>
        <w:rPr>
          <w:rFonts w:ascii="Times New Roman" w:hAnsi="Times New Roman" w:eastAsia="仿宋_GB2312" w:cs="Times New Roman"/>
          <w:color w:val="000000" w:themeColor="text1"/>
          <w:sz w:val="32"/>
          <w:szCs w:val="32"/>
          <w14:textFill>
            <w14:solidFill>
              <w14:schemeClr w14:val="tx1"/>
            </w14:solidFill>
          </w14:textFill>
        </w:rPr>
        <w:t>上年结余</w:t>
      </w:r>
      <w:r>
        <w:rPr>
          <w:rFonts w:hint="eastAsia" w:ascii="Times New Roman" w:hAnsi="Times New Roman" w:eastAsia="仿宋_GB2312" w:cs="Times New Roman"/>
          <w:color w:val="000000" w:themeColor="text1"/>
          <w:sz w:val="32"/>
          <w:szCs w:val="32"/>
          <w14:textFill>
            <w14:solidFill>
              <w14:schemeClr w14:val="tx1"/>
            </w14:solidFill>
          </w14:textFill>
        </w:rPr>
        <w:t>29</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967</w:t>
      </w:r>
      <w:r>
        <w:rPr>
          <w:rFonts w:ascii="Times New Roman" w:hAnsi="Times New Roman" w:eastAsia="仿宋_GB2312" w:cs="Times New Roman"/>
          <w:color w:val="000000" w:themeColor="text1"/>
          <w:sz w:val="32"/>
          <w:szCs w:val="32"/>
          <w14:textFill>
            <w14:solidFill>
              <w14:schemeClr w14:val="tx1"/>
            </w14:solidFill>
          </w14:textFill>
        </w:rPr>
        <w:t>万元，财政收入总计</w:t>
      </w:r>
      <w:r>
        <w:rPr>
          <w:rFonts w:hint="eastAsia" w:ascii="Times New Roman" w:hAnsi="Times New Roman" w:eastAsia="仿宋_GB2312" w:cs="Times New Roman"/>
          <w:color w:val="000000" w:themeColor="text1"/>
          <w:sz w:val="32"/>
          <w:szCs w:val="32"/>
          <w14:textFill>
            <w14:solidFill>
              <w14:schemeClr w14:val="tx1"/>
            </w14:solidFill>
          </w14:textFill>
        </w:rPr>
        <w:t>560</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967</w:t>
      </w:r>
      <w:r>
        <w:rPr>
          <w:rFonts w:ascii="Times New Roman" w:hAnsi="Times New Roman" w:eastAsia="仿宋_GB2312" w:cs="Times New Roman"/>
          <w:color w:val="000000" w:themeColor="text1"/>
          <w:sz w:val="32"/>
          <w:szCs w:val="32"/>
          <w14:textFill>
            <w14:solidFill>
              <w14:schemeClr w14:val="tx1"/>
            </w14:solidFill>
          </w14:textFill>
        </w:rPr>
        <w:t>万元。一般公共预算支出</w:t>
      </w:r>
      <w:r>
        <w:rPr>
          <w:rFonts w:hint="eastAsia" w:ascii="Times New Roman" w:hAnsi="Times New Roman" w:eastAsia="仿宋_GB2312" w:cs="Times New Roman"/>
          <w:color w:val="000000" w:themeColor="text1"/>
          <w:sz w:val="32"/>
          <w:szCs w:val="32"/>
          <w14:textFill>
            <w14:solidFill>
              <w14:schemeClr w14:val="tx1"/>
            </w14:solidFill>
          </w14:textFill>
        </w:rPr>
        <w:t>517</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200</w:t>
      </w:r>
      <w:r>
        <w:rPr>
          <w:rFonts w:ascii="Times New Roman" w:hAnsi="Times New Roman" w:eastAsia="仿宋_GB2312" w:cs="Times New Roman"/>
          <w:color w:val="000000" w:themeColor="text1"/>
          <w:sz w:val="32"/>
          <w:szCs w:val="32"/>
          <w14:textFill>
            <w14:solidFill>
              <w14:schemeClr w14:val="tx1"/>
            </w14:solidFill>
          </w14:textFill>
        </w:rPr>
        <w:t>万元，加上解上级支出</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950</w:t>
      </w:r>
      <w:r>
        <w:rPr>
          <w:rFonts w:ascii="Times New Roman" w:hAnsi="Times New Roman" w:eastAsia="仿宋_GB2312" w:cs="Times New Roman"/>
          <w:color w:val="000000" w:themeColor="text1"/>
          <w:sz w:val="32"/>
          <w:szCs w:val="32"/>
          <w14:textFill>
            <w14:solidFill>
              <w14:schemeClr w14:val="tx1"/>
            </w14:solidFill>
          </w14:textFill>
        </w:rPr>
        <w:t>万元、债务还本支出</w:t>
      </w:r>
      <w:r>
        <w:rPr>
          <w:rFonts w:hint="eastAsia" w:ascii="Times New Roman" w:hAnsi="Times New Roman" w:eastAsia="仿宋_GB2312" w:cs="Times New Roman"/>
          <w:color w:val="000000" w:themeColor="text1"/>
          <w:sz w:val="32"/>
          <w:szCs w:val="32"/>
          <w14:textFill>
            <w14:solidFill>
              <w14:schemeClr w14:val="tx1"/>
            </w14:solidFill>
          </w14:textFill>
        </w:rPr>
        <w:t>22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310</w:t>
      </w:r>
      <w:r>
        <w:rPr>
          <w:rFonts w:ascii="Times New Roman" w:hAnsi="Times New Roman" w:eastAsia="仿宋_GB2312" w:cs="Times New Roman"/>
          <w:color w:val="000000" w:themeColor="text1"/>
          <w:sz w:val="32"/>
          <w:szCs w:val="32"/>
          <w14:textFill>
            <w14:solidFill>
              <w14:schemeClr w14:val="tx1"/>
            </w14:solidFill>
          </w14:textFill>
        </w:rPr>
        <w:t>万元、结转下年支出</w:t>
      </w:r>
      <w:r>
        <w:rPr>
          <w:rFonts w:hint="eastAsia" w:ascii="Times New Roman" w:hAnsi="Times New Roman" w:eastAsia="仿宋_GB2312" w:cs="Times New Roman"/>
          <w:color w:val="000000" w:themeColor="text1"/>
          <w:sz w:val="32"/>
          <w:szCs w:val="32"/>
          <w14:textFill>
            <w14:solidFill>
              <w14:schemeClr w14:val="tx1"/>
            </w14:solidFill>
          </w14:textFill>
        </w:rPr>
        <w:t>12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507</w:t>
      </w:r>
      <w:r>
        <w:rPr>
          <w:rFonts w:ascii="Times New Roman" w:hAnsi="Times New Roman" w:eastAsia="仿宋_GB2312" w:cs="Times New Roman"/>
          <w:color w:val="000000" w:themeColor="text1"/>
          <w:sz w:val="32"/>
          <w:szCs w:val="32"/>
          <w14:textFill>
            <w14:solidFill>
              <w14:schemeClr w14:val="tx1"/>
            </w14:solidFill>
          </w14:textFill>
        </w:rPr>
        <w:t>万元，财政支出总计</w:t>
      </w:r>
      <w:r>
        <w:rPr>
          <w:rFonts w:hint="eastAsia" w:ascii="Times New Roman" w:hAnsi="Times New Roman" w:eastAsia="仿宋_GB2312" w:cs="Times New Roman"/>
          <w:color w:val="000000" w:themeColor="text1"/>
          <w:sz w:val="32"/>
          <w:szCs w:val="32"/>
          <w14:textFill>
            <w14:solidFill>
              <w14:schemeClr w14:val="tx1"/>
            </w14:solidFill>
          </w14:textFill>
        </w:rPr>
        <w:t>560</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967</w:t>
      </w:r>
      <w:r>
        <w:rPr>
          <w:rFonts w:ascii="Times New Roman" w:hAnsi="Times New Roman" w:eastAsia="仿宋_GB2312" w:cs="Times New Roman"/>
          <w:color w:val="000000" w:themeColor="text1"/>
          <w:sz w:val="32"/>
          <w:szCs w:val="32"/>
          <w14:textFill>
            <w14:solidFill>
              <w14:schemeClr w14:val="tx1"/>
            </w14:solidFill>
          </w14:textFill>
        </w:rPr>
        <w:t>万元，当年收支平衡。</w:t>
      </w: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（二）政府性基金预算收支情况</w:t>
      </w: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政府性基金预算收入预计完成</w:t>
      </w:r>
      <w:r>
        <w:rPr>
          <w:rFonts w:hint="eastAsia" w:ascii="Times New Roman" w:hAnsi="Times New Roman" w:eastAsia="仿宋_GB2312" w:cs="Times New Roman"/>
          <w:color w:val="000000" w:themeColor="text1"/>
          <w:sz w:val="32"/>
          <w:szCs w:val="32"/>
          <w14:textFill>
            <w14:solidFill>
              <w14:schemeClr w14:val="tx1"/>
            </w14:solidFill>
          </w14:textFill>
        </w:rPr>
        <w:t>28</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00万元，加上级补助收入</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33</w:t>
      </w:r>
      <w:r>
        <w:rPr>
          <w:rFonts w:ascii="Times New Roman" w:hAnsi="Times New Roman" w:eastAsia="仿宋_GB2312" w:cs="Times New Roman"/>
          <w:color w:val="000000" w:themeColor="text1"/>
          <w:sz w:val="32"/>
          <w:szCs w:val="32"/>
          <w14:textFill>
            <w14:solidFill>
              <w14:schemeClr w14:val="tx1"/>
            </w14:solidFill>
          </w14:textFill>
        </w:rPr>
        <w:t>0万元、债务转贷收入</w:t>
      </w:r>
      <w:r>
        <w:rPr>
          <w:rFonts w:hint="eastAsia" w:ascii="Times New Roman" w:hAnsi="Times New Roman" w:eastAsia="仿宋_GB2312" w:cs="Times New Roman"/>
          <w:color w:val="000000" w:themeColor="text1"/>
          <w:sz w:val="32"/>
          <w:szCs w:val="32"/>
          <w14:textFill>
            <w14:solidFill>
              <w14:schemeClr w14:val="tx1"/>
            </w14:solidFill>
          </w14:textFill>
        </w:rPr>
        <w:t>97</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00万元、上年结余</w:t>
      </w:r>
      <w:r>
        <w:rPr>
          <w:rFonts w:hint="eastAsia" w:ascii="Times New Roman" w:hAnsi="Times New Roman" w:eastAsia="仿宋_GB2312" w:cs="Times New Roman"/>
          <w:color w:val="000000" w:themeColor="text1"/>
          <w:sz w:val="32"/>
          <w:szCs w:val="32"/>
          <w14:textFill>
            <w14:solidFill>
              <w14:schemeClr w14:val="tx1"/>
            </w14:solidFill>
          </w14:textFill>
        </w:rPr>
        <w:t>15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214</w:t>
      </w:r>
      <w:r>
        <w:rPr>
          <w:rFonts w:ascii="Times New Roman" w:hAnsi="Times New Roman" w:eastAsia="仿宋_GB2312" w:cs="Times New Roman"/>
          <w:color w:val="000000" w:themeColor="text1"/>
          <w:sz w:val="32"/>
          <w:szCs w:val="32"/>
          <w14:textFill>
            <w14:solidFill>
              <w14:schemeClr w14:val="tx1"/>
            </w14:solidFill>
          </w14:textFill>
        </w:rPr>
        <w:t>万元，政府性基金</w:t>
      </w:r>
      <w:r>
        <w:rPr>
          <w:rFonts w:hint="eastAsia" w:ascii="Times New Roman" w:hAnsi="Times New Roman" w:eastAsia="仿宋_GB2312" w:cs="Times New Roman"/>
          <w:color w:val="000000" w:themeColor="text1"/>
          <w:sz w:val="32"/>
          <w:szCs w:val="32"/>
          <w14:textFill>
            <w14:solidFill>
              <w14:schemeClr w14:val="tx1"/>
            </w14:solidFill>
          </w14:textFill>
        </w:rPr>
        <w:t>预算</w:t>
      </w:r>
      <w:r>
        <w:rPr>
          <w:rFonts w:ascii="Times New Roman" w:hAnsi="Times New Roman" w:eastAsia="仿宋_GB2312" w:cs="Times New Roman"/>
          <w:color w:val="000000" w:themeColor="text1"/>
          <w:sz w:val="32"/>
          <w:szCs w:val="32"/>
          <w14:textFill>
            <w14:solidFill>
              <w14:schemeClr w14:val="tx1"/>
            </w14:solidFill>
          </w14:textFill>
        </w:rPr>
        <w:t>收入总计</w:t>
      </w:r>
      <w:r>
        <w:rPr>
          <w:rFonts w:hint="eastAsia" w:ascii="Times New Roman" w:hAnsi="Times New Roman" w:eastAsia="仿宋_GB2312" w:cs="Times New Roman"/>
          <w:color w:val="000000" w:themeColor="text1"/>
          <w:sz w:val="32"/>
          <w:szCs w:val="32"/>
          <w14:textFill>
            <w14:solidFill>
              <w14:schemeClr w14:val="tx1"/>
            </w14:solidFill>
          </w14:textFill>
        </w:rPr>
        <w:t>145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044</w:t>
      </w:r>
      <w:r>
        <w:rPr>
          <w:rFonts w:ascii="Times New Roman" w:hAnsi="Times New Roman" w:eastAsia="仿宋_GB2312" w:cs="Times New Roman"/>
          <w:color w:val="000000" w:themeColor="text1"/>
          <w:sz w:val="32"/>
          <w:szCs w:val="32"/>
          <w14:textFill>
            <w14:solidFill>
              <w14:schemeClr w14:val="tx1"/>
            </w14:solidFill>
          </w14:textFill>
        </w:rPr>
        <w:t>万元。政府性基金</w:t>
      </w:r>
      <w:r>
        <w:rPr>
          <w:rFonts w:hint="eastAsia" w:ascii="Times New Roman" w:hAnsi="Times New Roman" w:eastAsia="仿宋_GB2312" w:cs="Times New Roman"/>
          <w:color w:val="000000" w:themeColor="text1"/>
          <w:sz w:val="32"/>
          <w:szCs w:val="32"/>
          <w14:textFill>
            <w14:solidFill>
              <w14:schemeClr w14:val="tx1"/>
            </w14:solidFill>
          </w14:textFill>
        </w:rPr>
        <w:t>预算</w:t>
      </w:r>
      <w:r>
        <w:rPr>
          <w:rFonts w:ascii="Times New Roman" w:hAnsi="Times New Roman" w:eastAsia="仿宋_GB2312" w:cs="Times New Roman"/>
          <w:color w:val="000000" w:themeColor="text1"/>
          <w:sz w:val="32"/>
          <w:szCs w:val="32"/>
          <w14:textFill>
            <w14:solidFill>
              <w14:schemeClr w14:val="tx1"/>
            </w14:solidFill>
          </w14:textFill>
        </w:rPr>
        <w:t>支出预计</w:t>
      </w:r>
      <w:r>
        <w:rPr>
          <w:rFonts w:hint="eastAsia" w:ascii="Times New Roman" w:hAnsi="Times New Roman" w:eastAsia="仿宋_GB2312" w:cs="Times New Roman"/>
          <w:color w:val="000000" w:themeColor="text1"/>
          <w:sz w:val="32"/>
          <w:szCs w:val="32"/>
          <w14:textFill>
            <w14:solidFill>
              <w14:schemeClr w14:val="tx1"/>
            </w14:solidFill>
          </w14:textFill>
        </w:rPr>
        <w:t>115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800</w:t>
      </w:r>
      <w:r>
        <w:rPr>
          <w:rFonts w:ascii="Times New Roman" w:hAnsi="Times New Roman" w:eastAsia="仿宋_GB2312" w:cs="Times New Roman"/>
          <w:color w:val="000000" w:themeColor="text1"/>
          <w:sz w:val="32"/>
          <w:szCs w:val="32"/>
          <w14:textFill>
            <w14:solidFill>
              <w14:schemeClr w14:val="tx1"/>
            </w14:solidFill>
          </w14:textFill>
        </w:rPr>
        <w:t>万元，加债务还本支出</w:t>
      </w:r>
      <w:r>
        <w:rPr>
          <w:rFonts w:hint="eastAsia" w:ascii="Times New Roman" w:hAnsi="Times New Roman" w:eastAsia="仿宋_GB2312" w:cs="Times New Roman"/>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700</w:t>
      </w:r>
      <w:r>
        <w:rPr>
          <w:rFonts w:ascii="Times New Roman" w:hAnsi="Times New Roman" w:eastAsia="仿宋_GB2312" w:cs="Times New Roman"/>
          <w:color w:val="000000" w:themeColor="text1"/>
          <w:sz w:val="32"/>
          <w:szCs w:val="32"/>
          <w14:textFill>
            <w14:solidFill>
              <w14:schemeClr w14:val="tx1"/>
            </w14:solidFill>
          </w14:textFill>
        </w:rPr>
        <w:t>万元、结转下年</w:t>
      </w:r>
      <w:r>
        <w:rPr>
          <w:rFonts w:hint="eastAsia" w:ascii="Times New Roman" w:hAnsi="Times New Roman" w:eastAsia="仿宋_GB2312" w:cs="Times New Roman"/>
          <w:color w:val="000000" w:themeColor="text1"/>
          <w:sz w:val="32"/>
          <w:szCs w:val="32"/>
          <w14:textFill>
            <w14:solidFill>
              <w14:schemeClr w14:val="tx1"/>
            </w14:solidFill>
          </w14:textFill>
        </w:rPr>
        <w:t>18,544</w:t>
      </w:r>
      <w:r>
        <w:rPr>
          <w:rFonts w:ascii="Times New Roman" w:hAnsi="Times New Roman" w:eastAsia="仿宋_GB2312" w:cs="Times New Roman"/>
          <w:color w:val="000000" w:themeColor="text1"/>
          <w:sz w:val="32"/>
          <w:szCs w:val="32"/>
          <w14:textFill>
            <w14:solidFill>
              <w14:schemeClr w14:val="tx1"/>
            </w14:solidFill>
          </w14:textFill>
        </w:rPr>
        <w:t>万元，政府性基金支出总计</w:t>
      </w:r>
      <w:r>
        <w:rPr>
          <w:rFonts w:hint="eastAsia" w:ascii="Times New Roman" w:hAnsi="Times New Roman" w:eastAsia="仿宋_GB2312" w:cs="Times New Roman"/>
          <w:color w:val="000000" w:themeColor="text1"/>
          <w:sz w:val="32"/>
          <w:szCs w:val="32"/>
          <w14:textFill>
            <w14:solidFill>
              <w14:schemeClr w14:val="tx1"/>
            </w14:solidFill>
          </w14:textFill>
        </w:rPr>
        <w:t>145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044</w:t>
      </w:r>
      <w:r>
        <w:rPr>
          <w:rFonts w:ascii="Times New Roman" w:hAnsi="Times New Roman" w:eastAsia="仿宋_GB2312" w:cs="Times New Roman"/>
          <w:color w:val="000000" w:themeColor="text1"/>
          <w:sz w:val="32"/>
          <w:szCs w:val="32"/>
          <w14:textFill>
            <w14:solidFill>
              <w14:schemeClr w14:val="tx1"/>
            </w14:solidFill>
          </w14:textFill>
        </w:rPr>
        <w:t>万元，当年收支平衡。</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color w:val="000000"/>
          <w:sz w:val="32"/>
          <w:szCs w:val="32"/>
        </w:rPr>
        <w:t>社会保险基金预算</w:t>
      </w:r>
      <w:r>
        <w:rPr>
          <w:rFonts w:hint="eastAsia" w:ascii="楷体_GB2312" w:hAnsi="楷体_GB2312" w:eastAsia="楷体_GB2312" w:cs="楷体_GB2312"/>
          <w:bCs/>
          <w:sz w:val="32"/>
          <w:szCs w:val="32"/>
        </w:rPr>
        <w:t>收支情况</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社会保险基金预算收入预计完成</w:t>
      </w:r>
      <w:r>
        <w:rPr>
          <w:rFonts w:hint="eastAsia" w:ascii="Times New Roman" w:hAnsi="Times New Roman" w:eastAsia="仿宋_GB2312" w:cs="Times New Roman"/>
          <w:sz w:val="32"/>
          <w:szCs w:val="32"/>
        </w:rPr>
        <w:t>60</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738</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60</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678</w:t>
      </w:r>
      <w:r>
        <w:rPr>
          <w:rFonts w:ascii="Times New Roman" w:hAnsi="Times New Roman" w:eastAsia="仿宋_GB2312" w:cs="Times New Roman"/>
          <w:sz w:val="32"/>
          <w:szCs w:val="32"/>
        </w:rPr>
        <w:t>万元，当年结余</w:t>
      </w:r>
      <w:r>
        <w:rPr>
          <w:rFonts w:hint="eastAsia" w:ascii="Times New Roman" w:hAnsi="Times New Roman" w:eastAsia="仿宋_GB2312" w:cs="Times New Roman"/>
          <w:sz w:val="32"/>
          <w:szCs w:val="32"/>
        </w:rPr>
        <w:t>60</w:t>
      </w:r>
      <w:r>
        <w:rPr>
          <w:rFonts w:ascii="Times New Roman" w:hAnsi="Times New Roman" w:eastAsia="仿宋_GB2312" w:cs="Times New Roman"/>
          <w:sz w:val="32"/>
          <w:szCs w:val="32"/>
        </w:rPr>
        <w:t>万元，年末滚存结余</w:t>
      </w:r>
      <w:r>
        <w:rPr>
          <w:rFonts w:hint="eastAsia" w:ascii="Times New Roman" w:hAnsi="Times New Roman" w:eastAsia="仿宋_GB2312" w:cs="Times New Roman"/>
          <w:sz w:val="32"/>
          <w:szCs w:val="32"/>
        </w:rPr>
        <w:t>49</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911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机关事业单位职工基本</w:t>
      </w:r>
      <w:r>
        <w:rPr>
          <w:rFonts w:ascii="Times New Roman" w:hAnsi="Times New Roman" w:eastAsia="仿宋_GB2312" w:cs="Times New Roman"/>
          <w:sz w:val="32"/>
          <w:szCs w:val="32"/>
        </w:rPr>
        <w:t>养老保险基金收入</w:t>
      </w:r>
      <w:r>
        <w:rPr>
          <w:rFonts w:hint="eastAsia" w:ascii="Times New Roman" w:hAnsi="Times New Roman" w:eastAsia="仿宋_GB2312" w:cs="Times New Roman"/>
          <w:sz w:val="32"/>
          <w:szCs w:val="32"/>
        </w:rPr>
        <w:t>40</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304</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40</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213</w:t>
      </w:r>
      <w:r>
        <w:rPr>
          <w:rFonts w:ascii="Times New Roman" w:hAnsi="Times New Roman" w:eastAsia="仿宋_GB2312" w:cs="Times New Roman"/>
          <w:sz w:val="32"/>
          <w:szCs w:val="32"/>
        </w:rPr>
        <w:t>万元，当年结余</w:t>
      </w:r>
      <w:r>
        <w:rPr>
          <w:rFonts w:hint="eastAsia" w:ascii="Times New Roman" w:hAnsi="Times New Roman" w:eastAsia="仿宋_GB2312" w:cs="Times New Roman"/>
          <w:sz w:val="32"/>
          <w:szCs w:val="32"/>
        </w:rPr>
        <w:t>91</w:t>
      </w:r>
      <w:r>
        <w:rPr>
          <w:rFonts w:ascii="Times New Roman" w:hAnsi="Times New Roman" w:eastAsia="仿宋_GB2312" w:cs="Times New Roman"/>
          <w:sz w:val="32"/>
          <w:szCs w:val="32"/>
        </w:rPr>
        <w:t>万元，年末滚存结余</w:t>
      </w:r>
      <w:r>
        <w:rPr>
          <w:rFonts w:hint="eastAsia" w:ascii="Times New Roman" w:hAnsi="Times New Roman" w:eastAsia="仿宋_GB2312" w:cs="Times New Roman"/>
          <w:sz w:val="32"/>
          <w:szCs w:val="32"/>
        </w:rPr>
        <w:t>739</w:t>
      </w:r>
      <w:r>
        <w:rPr>
          <w:rFonts w:ascii="Times New Roman" w:hAnsi="Times New Roman" w:eastAsia="仿宋_GB2312" w:cs="Times New Roman"/>
          <w:sz w:val="32"/>
          <w:szCs w:val="32"/>
        </w:rPr>
        <w:t>万元；城乡居民养老保险基金收入7,000万元，支出</w:t>
      </w:r>
      <w:r>
        <w:rPr>
          <w:rFonts w:hint="eastAsia" w:ascii="Times New Roman" w:hAnsi="Times New Roman" w:eastAsia="仿宋_GB2312" w:cs="Times New Roman"/>
          <w:sz w:val="32"/>
          <w:szCs w:val="32"/>
        </w:rPr>
        <w:t>7</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604</w:t>
      </w:r>
      <w:r>
        <w:rPr>
          <w:rFonts w:ascii="Times New Roman" w:hAnsi="Times New Roman" w:eastAsia="仿宋_GB2312" w:cs="Times New Roman"/>
          <w:sz w:val="32"/>
          <w:szCs w:val="32"/>
        </w:rPr>
        <w:t>万元，当年结余</w:t>
      </w:r>
      <w:r>
        <w:rPr>
          <w:rFonts w:hint="eastAsia" w:ascii="Times New Roman" w:hAnsi="Times New Roman" w:eastAsia="仿宋_GB2312" w:cs="Times New Roman"/>
          <w:sz w:val="32"/>
          <w:szCs w:val="32"/>
        </w:rPr>
        <w:t>-604</w:t>
      </w:r>
      <w:r>
        <w:rPr>
          <w:rFonts w:ascii="Times New Roman" w:hAnsi="Times New Roman" w:eastAsia="仿宋_GB2312" w:cs="Times New Roman"/>
          <w:sz w:val="32"/>
          <w:szCs w:val="32"/>
        </w:rPr>
        <w:t>万元，年末滚存结余1</w:t>
      </w:r>
      <w:r>
        <w:rPr>
          <w:rFonts w:hint="eastAsia" w:ascii="Times New Roman" w:hAnsi="Times New Roman" w:eastAsia="仿宋_GB2312" w:cs="Times New Roman"/>
          <w:sz w:val="32"/>
          <w:szCs w:val="32"/>
        </w:rPr>
        <w:t>9</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010</w:t>
      </w:r>
      <w:r>
        <w:rPr>
          <w:rFonts w:ascii="Times New Roman" w:hAnsi="Times New Roman" w:eastAsia="仿宋_GB2312" w:cs="Times New Roman"/>
          <w:sz w:val="32"/>
          <w:szCs w:val="32"/>
        </w:rPr>
        <w:t>万元；城镇职工医疗保险基金收入13</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434</w:t>
      </w:r>
      <w:r>
        <w:rPr>
          <w:rFonts w:ascii="Times New Roman" w:hAnsi="Times New Roman" w:eastAsia="仿宋_GB2312" w:cs="Times New Roman"/>
          <w:sz w:val="32"/>
          <w:szCs w:val="32"/>
        </w:rPr>
        <w:t>万元，支出1</w:t>
      </w:r>
      <w:r>
        <w:rPr>
          <w:rFonts w:hint="eastAsia" w:ascii="Times New Roman" w:hAnsi="Times New Roman" w:eastAsia="仿宋_GB2312" w:cs="Times New Roman"/>
          <w:sz w:val="32"/>
          <w:szCs w:val="32"/>
        </w:rPr>
        <w:t>2</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861</w:t>
      </w:r>
      <w:r>
        <w:rPr>
          <w:rFonts w:ascii="Times New Roman" w:hAnsi="Times New Roman" w:eastAsia="仿宋_GB2312" w:cs="Times New Roman"/>
          <w:sz w:val="32"/>
          <w:szCs w:val="32"/>
        </w:rPr>
        <w:t>万元，当年结余</w:t>
      </w:r>
      <w:r>
        <w:rPr>
          <w:rFonts w:hint="eastAsia" w:ascii="Times New Roman" w:hAnsi="Times New Roman" w:eastAsia="仿宋_GB2312" w:cs="Times New Roman"/>
          <w:sz w:val="32"/>
          <w:szCs w:val="32"/>
        </w:rPr>
        <w:t>573</w:t>
      </w:r>
      <w:r>
        <w:rPr>
          <w:rFonts w:ascii="Times New Roman" w:hAnsi="Times New Roman" w:eastAsia="仿宋_GB2312" w:cs="Times New Roman"/>
          <w:sz w:val="32"/>
          <w:szCs w:val="32"/>
        </w:rPr>
        <w:t>万元，年末滚存结余</w:t>
      </w:r>
      <w:r>
        <w:rPr>
          <w:rFonts w:hint="eastAsia" w:ascii="Times New Roman" w:hAnsi="Times New Roman" w:eastAsia="仿宋_GB2312" w:cs="Times New Roman"/>
          <w:sz w:val="32"/>
          <w:szCs w:val="32"/>
        </w:rPr>
        <w:t>30</w:t>
      </w:r>
      <w:r>
        <w:rPr>
          <w:rFonts w:ascii="仿宋_GB2312" w:hAnsi="仿宋_GB2312" w:eastAsia="仿宋_GB2312" w:cs="仿宋_GB2312"/>
          <w:sz w:val="32"/>
          <w:szCs w:val="32"/>
        </w:rPr>
        <w:t>,</w:t>
      </w:r>
      <w:r>
        <w:rPr>
          <w:rFonts w:hint="eastAsia" w:ascii="Times New Roman" w:hAnsi="Times New Roman" w:eastAsia="仿宋_GB2312" w:cs="Times New Roman"/>
          <w:sz w:val="32"/>
          <w:szCs w:val="32"/>
        </w:rPr>
        <w:t>162</w:t>
      </w:r>
      <w:r>
        <w:rPr>
          <w:rFonts w:ascii="Times New Roman" w:hAnsi="Times New Roman" w:eastAsia="仿宋_GB2312" w:cs="Times New Roman"/>
          <w:sz w:val="32"/>
          <w:szCs w:val="32"/>
        </w:rPr>
        <w:t>万元。</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（四）地方政府债务情况</w:t>
      </w:r>
    </w:p>
    <w:p>
      <w:pPr>
        <w:pStyle w:val="13"/>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年末，我市地方政府债务余额</w:t>
      </w:r>
      <w:r>
        <w:rPr>
          <w:rFonts w:hint="eastAsia" w:ascii="Times New Roman" w:hAnsi="Times New Roman" w:eastAsia="仿宋_GB2312" w:cs="Times New Roman"/>
          <w:sz w:val="32"/>
          <w:szCs w:val="32"/>
        </w:rPr>
        <w:t>33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91</w:t>
      </w:r>
      <w:r>
        <w:rPr>
          <w:rFonts w:ascii="Times New Roman" w:hAnsi="Times New Roman" w:eastAsia="仿宋_GB2312" w:cs="Times New Roman"/>
          <w:sz w:val="32"/>
          <w:szCs w:val="32"/>
        </w:rPr>
        <w:t>亿元，其中一般债</w:t>
      </w:r>
      <w:r>
        <w:rPr>
          <w:rFonts w:hint="eastAsia" w:ascii="Times New Roman" w:hAnsi="Times New Roman" w:eastAsia="仿宋_GB2312" w:cs="Times New Roman"/>
          <w:sz w:val="32"/>
          <w:szCs w:val="32"/>
        </w:rPr>
        <w:t>务</w:t>
      </w:r>
      <w:r>
        <w:rPr>
          <w:rFonts w:ascii="Times New Roman" w:hAnsi="Times New Roman" w:eastAsia="仿宋_GB2312" w:cs="Times New Roman"/>
          <w:sz w:val="32"/>
          <w:szCs w:val="32"/>
        </w:rPr>
        <w:t>余额</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32</w:t>
      </w:r>
      <w:r>
        <w:rPr>
          <w:rFonts w:ascii="Times New Roman" w:hAnsi="Times New Roman" w:eastAsia="仿宋_GB2312" w:cs="Times New Roman"/>
          <w:sz w:val="32"/>
          <w:szCs w:val="32"/>
        </w:rPr>
        <w:t>亿元，专项债务余额</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59</w:t>
      </w:r>
      <w:r>
        <w:rPr>
          <w:rFonts w:ascii="Times New Roman" w:hAnsi="Times New Roman" w:eastAsia="仿宋_GB2312" w:cs="Times New Roman"/>
          <w:sz w:val="32"/>
          <w:szCs w:val="32"/>
        </w:rPr>
        <w:t>亿元。202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年申请新增债券</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亿元，其中一般债券</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亿元，专项债券</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当年申请</w:t>
      </w:r>
      <w:r>
        <w:rPr>
          <w:rFonts w:hint="eastAsia" w:ascii="Times New Roman" w:hAnsi="Times New Roman" w:eastAsia="仿宋_GB2312" w:cs="Times New Roman"/>
          <w:sz w:val="32"/>
          <w:szCs w:val="32"/>
        </w:rPr>
        <w:t>新增</w:t>
      </w:r>
      <w:r>
        <w:rPr>
          <w:rFonts w:ascii="Times New Roman" w:hAnsi="Times New Roman" w:eastAsia="仿宋_GB2312" w:cs="Times New Roman"/>
          <w:sz w:val="32"/>
          <w:szCs w:val="32"/>
        </w:rPr>
        <w:t>债务在省政府下达我市债务限额内。</w:t>
      </w:r>
      <w:r>
        <w:rPr>
          <w:rFonts w:hint="eastAsia" w:ascii="Times New Roman" w:hAnsi="Times New Roman" w:eastAsia="仿宋_GB2312" w:cs="Times New Roman"/>
          <w:sz w:val="32"/>
          <w:szCs w:val="32"/>
        </w:rPr>
        <w:t>除申请新增债券外，</w:t>
      </w:r>
      <w:r>
        <w:rPr>
          <w:rFonts w:ascii="Times New Roman" w:hAnsi="Times New Roman" w:eastAsia="仿宋_GB2312" w:cs="Times New Roman"/>
          <w:sz w:val="32"/>
          <w:szCs w:val="32"/>
        </w:rPr>
        <w:t>另申请再融资债券</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01</w:t>
      </w:r>
      <w:r>
        <w:rPr>
          <w:rFonts w:ascii="Times New Roman" w:hAnsi="Times New Roman" w:eastAsia="仿宋_GB2312" w:cs="Times New Roman"/>
          <w:sz w:val="32"/>
          <w:szCs w:val="32"/>
        </w:rPr>
        <w:t>亿元用于置换到期债务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当年债</w:t>
      </w:r>
      <w:r>
        <w:rPr>
          <w:rFonts w:hint="eastAsia" w:ascii="Times New Roman" w:hAnsi="Times New Roman" w:eastAsia="仿宋_GB2312" w:cs="Times New Roman"/>
          <w:sz w:val="32"/>
          <w:szCs w:val="32"/>
        </w:rPr>
        <w:t>务</w:t>
      </w:r>
      <w:r>
        <w:rPr>
          <w:rFonts w:ascii="Times New Roman" w:hAnsi="Times New Roman" w:eastAsia="仿宋_GB2312" w:cs="Times New Roman"/>
          <w:sz w:val="32"/>
          <w:szCs w:val="32"/>
        </w:rPr>
        <w:t>还本支出</w:t>
      </w:r>
      <w:r>
        <w:rPr>
          <w:rFonts w:hint="eastAsia" w:ascii="Times New Roman" w:hAnsi="Times New Roman" w:eastAsia="仿宋_GB2312" w:cs="Times New Roman"/>
          <w:color w:val="000000" w:themeColor="text1"/>
          <w:sz w:val="32"/>
          <w:szCs w:val="32"/>
          <w14:textFill>
            <w14:solidFill>
              <w14:schemeClr w14:val="tx1"/>
            </w14:solidFill>
          </w14:textFill>
        </w:rPr>
        <w:t>3.2</w:t>
      </w:r>
      <w:r>
        <w:rPr>
          <w:rFonts w:ascii="Times New Roman" w:hAnsi="Times New Roman" w:eastAsia="仿宋_GB2312" w:cs="Times New Roman"/>
          <w:color w:val="000000" w:themeColor="text1"/>
          <w:sz w:val="32"/>
          <w:szCs w:val="32"/>
          <w14:textFill>
            <w14:solidFill>
              <w14:schemeClr w14:val="tx1"/>
            </w14:solidFill>
          </w14:textFill>
        </w:rPr>
        <w:t>亿元，年末债务余额</w:t>
      </w:r>
      <w:r>
        <w:rPr>
          <w:rFonts w:hint="eastAsia" w:ascii="Times New Roman" w:hAnsi="Times New Roman" w:eastAsia="仿宋_GB2312" w:cs="Times New Roman"/>
          <w:color w:val="000000" w:themeColor="text1"/>
          <w:sz w:val="32"/>
          <w:szCs w:val="32"/>
          <w14:textFill>
            <w14:solidFill>
              <w14:schemeClr w14:val="tx1"/>
            </w14:solidFill>
          </w14:textFill>
        </w:rPr>
        <w:t>44.62</w:t>
      </w:r>
      <w:r>
        <w:rPr>
          <w:rFonts w:ascii="Times New Roman" w:hAnsi="Times New Roman" w:eastAsia="仿宋_GB2312" w:cs="Times New Roman"/>
          <w:color w:val="000000" w:themeColor="text1"/>
          <w:sz w:val="32"/>
          <w:szCs w:val="32"/>
          <w14:textFill>
            <w14:solidFill>
              <w14:schemeClr w14:val="tx1"/>
            </w14:solidFill>
          </w14:textFill>
        </w:rPr>
        <w:t>亿元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政府法定</w:t>
      </w:r>
      <w:r>
        <w:rPr>
          <w:rFonts w:ascii="Times New Roman" w:hAnsi="Times New Roman" w:eastAsia="仿宋_GB2312" w:cs="Times New Roman"/>
          <w:sz w:val="32"/>
          <w:szCs w:val="32"/>
        </w:rPr>
        <w:t>债务率</w:t>
      </w:r>
      <w:r>
        <w:rPr>
          <w:rFonts w:hint="eastAsia" w:ascii="Times New Roman" w:hAnsi="Times New Roman" w:eastAsia="仿宋_GB2312" w:cs="Times New Roman"/>
          <w:sz w:val="32"/>
          <w:szCs w:val="32"/>
        </w:rPr>
        <w:t>低于全省平均水平，风险情况为无风险</w:t>
      </w:r>
      <w:r>
        <w:rPr>
          <w:rFonts w:ascii="Times New Roman" w:hAnsi="Times New Roman" w:eastAsia="仿宋_GB2312" w:cs="Times New Roman"/>
          <w:sz w:val="32"/>
          <w:szCs w:val="32"/>
        </w:rPr>
        <w:t>。</w:t>
      </w:r>
    </w:p>
    <w:p>
      <w:pPr>
        <w:spacing w:line="576"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二、主要工作完成情况</w:t>
      </w:r>
    </w:p>
    <w:p>
      <w:pPr>
        <w:adjustRightInd w:val="0"/>
        <w:snapToGrid w:val="0"/>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（一）加强预算编制管理，持续优化支出结构</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仿宋_GB2312" w:hAnsi="仿宋" w:eastAsia="仿宋_GB2312" w:cs="Times New Roman"/>
          <w:sz w:val="32"/>
          <w:szCs w:val="32"/>
        </w:rPr>
        <w:t>按照省政府关于2022年政府预算编制要求，牢固树立过紧日子思想，持续优化支出结构。</w:t>
      </w:r>
      <w:r>
        <w:rPr>
          <w:rFonts w:ascii="Times New Roman" w:hAnsi="Times New Roman" w:eastAsia="仿宋_GB2312" w:cs="Times New Roman"/>
          <w:sz w:val="32"/>
          <w:szCs w:val="32"/>
        </w:rPr>
        <w:t>严格控制一般性支出，</w:t>
      </w:r>
      <w:r>
        <w:rPr>
          <w:rFonts w:hint="eastAsia" w:ascii="Times New Roman" w:hAnsi="Times New Roman" w:eastAsia="仿宋_GB2312" w:cs="Times New Roman"/>
          <w:sz w:val="32"/>
          <w:szCs w:val="32"/>
        </w:rPr>
        <w:t>部门预算公用经费同比</w:t>
      </w:r>
      <w:r>
        <w:rPr>
          <w:rFonts w:ascii="Times New Roman" w:hAnsi="Times New Roman" w:eastAsia="仿宋_GB2312" w:cs="Times New Roman"/>
          <w:sz w:val="32"/>
          <w:szCs w:val="32"/>
        </w:rPr>
        <w:t>压减5.</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“三公”经费只减不增</w:t>
      </w:r>
      <w:r>
        <w:rPr>
          <w:rFonts w:ascii="Times New Roman" w:hAnsi="Times New Roman" w:eastAsia="仿宋_GB2312" w:cs="Times New Roman"/>
          <w:sz w:val="32"/>
          <w:szCs w:val="32"/>
        </w:rPr>
        <w:t>，其他非刚性非必需支出压减</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集中财力保障“三保”支出，支持</w:t>
      </w:r>
      <w:r>
        <w:rPr>
          <w:rFonts w:hint="eastAsia" w:ascii="Times New Roman" w:hAnsi="Times New Roman" w:eastAsia="仿宋_GB2312" w:cs="Times New Roman"/>
          <w:sz w:val="32"/>
          <w:szCs w:val="32"/>
        </w:rPr>
        <w:t>公益性基础设施建设，促进经济社会协调发展</w:t>
      </w:r>
      <w:r>
        <w:rPr>
          <w:rFonts w:ascii="Times New Roman" w:hAnsi="Times New Roman" w:eastAsia="仿宋_GB2312" w:cs="Times New Roman"/>
          <w:sz w:val="32"/>
          <w:szCs w:val="32"/>
        </w:rPr>
        <w:t>。</w:t>
      </w:r>
    </w:p>
    <w:p>
      <w:pPr>
        <w:adjustRightInd w:val="0"/>
        <w:snapToGrid w:val="0"/>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（二）严格落实减税降费政策，依法组织财政收入</w:t>
      </w:r>
    </w:p>
    <w:p>
      <w:pPr>
        <w:adjustRightInd w:val="0"/>
        <w:snapToGrid w:val="0"/>
        <w:spacing w:line="576"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rPr>
        <w:t>.严格落实减税降费政策。</w:t>
      </w:r>
      <w:r>
        <w:rPr>
          <w:rFonts w:ascii="Times New Roman" w:hAnsi="Times New Roman" w:eastAsia="仿宋_GB2312" w:cs="Times New Roman"/>
          <w:sz w:val="32"/>
          <w:szCs w:val="32"/>
        </w:rPr>
        <w:t>财政、税务等</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将落实减税降费政策做为一项重要政治任务来抓，特别是抓好增值税留抵退税政策落实，组织人员进行数据测算，提前做好退税预判，加强库款调度，及时足额兑现退税资金，同时加强审核把关，着力防范骗税风险。预计全年完成增值税留抵退税2.6亿元，加其他减税降费政策，预计全年全口径减税降费3.2亿元，切实</w:t>
      </w:r>
      <w:r>
        <w:rPr>
          <w:rFonts w:ascii="Times New Roman" w:hAnsi="Times New Roman" w:eastAsia="仿宋_GB2312" w:cs="Times New Roman"/>
          <w:sz w:val="32"/>
          <w:szCs w:val="32"/>
        </w:rPr>
        <w:t>降低了企业成本，</w:t>
      </w:r>
      <w:r>
        <w:rPr>
          <w:rFonts w:hint="eastAsia" w:ascii="Times New Roman" w:hAnsi="Times New Roman" w:eastAsia="仿宋_GB2312" w:cs="Times New Roman"/>
          <w:sz w:val="32"/>
          <w:szCs w:val="32"/>
        </w:rPr>
        <w:t>缓解了企业资金压力，对冲了疫情的不利影响</w:t>
      </w:r>
      <w:r>
        <w:rPr>
          <w:rFonts w:ascii="Times New Roman" w:hAnsi="Times New Roman" w:eastAsia="仿宋_GB2312" w:cs="Times New Roman"/>
          <w:sz w:val="32"/>
          <w:szCs w:val="32"/>
        </w:rPr>
        <w:t>。</w:t>
      </w:r>
    </w:p>
    <w:p>
      <w:pPr>
        <w:adjustRightInd w:val="0"/>
        <w:snapToGrid w:val="0"/>
        <w:spacing w:line="576"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依法</w:t>
      </w:r>
      <w:r>
        <w:rPr>
          <w:rFonts w:ascii="Times New Roman" w:hAnsi="Times New Roman" w:eastAsia="仿宋_GB2312" w:cs="Times New Roman"/>
          <w:b/>
          <w:sz w:val="32"/>
          <w:szCs w:val="32"/>
        </w:rPr>
        <w:t>组织财政收入。</w:t>
      </w:r>
      <w:r>
        <w:rPr>
          <w:rFonts w:hint="eastAsia" w:ascii="Times New Roman" w:hAnsi="Times New Roman" w:eastAsia="仿宋_GB2312" w:cs="Times New Roman"/>
          <w:sz w:val="32"/>
          <w:szCs w:val="32"/>
        </w:rPr>
        <w:t>在严格落实减税降费政策基础上，财政、税务等</w:t>
      </w:r>
      <w:r>
        <w:rPr>
          <w:rFonts w:ascii="Times New Roman" w:hAnsi="Times New Roman" w:eastAsia="仿宋_GB2312" w:cs="Times New Roman"/>
          <w:sz w:val="32"/>
          <w:szCs w:val="32"/>
        </w:rPr>
        <w:t>征收部门克服</w:t>
      </w:r>
      <w:r>
        <w:rPr>
          <w:rFonts w:hint="eastAsia" w:ascii="Times New Roman" w:hAnsi="Times New Roman" w:eastAsia="仿宋_GB2312" w:cs="Times New Roman"/>
          <w:sz w:val="32"/>
          <w:szCs w:val="32"/>
        </w:rPr>
        <w:t>土地指标交易收入下降</w:t>
      </w:r>
      <w:r>
        <w:rPr>
          <w:rFonts w:ascii="Times New Roman" w:hAnsi="Times New Roman" w:eastAsia="仿宋_GB2312" w:cs="Times New Roman"/>
          <w:sz w:val="32"/>
          <w:szCs w:val="32"/>
        </w:rPr>
        <w:t>影响，采取有</w:t>
      </w:r>
      <w:r>
        <w:rPr>
          <w:rFonts w:hint="eastAsia" w:ascii="Times New Roman" w:hAnsi="Times New Roman" w:eastAsia="仿宋_GB2312" w:cs="Times New Roman"/>
          <w:sz w:val="32"/>
          <w:szCs w:val="32"/>
        </w:rPr>
        <w:t>效</w:t>
      </w:r>
      <w:r>
        <w:rPr>
          <w:rFonts w:ascii="Times New Roman" w:hAnsi="Times New Roman" w:eastAsia="仿宋_GB2312" w:cs="Times New Roman"/>
          <w:sz w:val="32"/>
          <w:szCs w:val="32"/>
        </w:rPr>
        <w:t>措施，</w:t>
      </w:r>
      <w:r>
        <w:rPr>
          <w:rFonts w:hint="eastAsia" w:ascii="Times New Roman" w:hAnsi="Times New Roman" w:eastAsia="仿宋_GB2312" w:cs="Times New Roman"/>
          <w:sz w:val="32"/>
          <w:szCs w:val="32"/>
        </w:rPr>
        <w:t>依法组织财政收入</w:t>
      </w:r>
      <w:r>
        <w:rPr>
          <w:rFonts w:ascii="Times New Roman" w:hAnsi="Times New Roman" w:eastAsia="仿宋_GB2312" w:cs="Times New Roman"/>
          <w:sz w:val="32"/>
          <w:szCs w:val="32"/>
        </w:rPr>
        <w:t>：一是</w:t>
      </w:r>
      <w:r>
        <w:rPr>
          <w:rFonts w:hint="eastAsia" w:ascii="Times New Roman" w:hAnsi="Times New Roman" w:eastAsia="仿宋_GB2312" w:cs="Times New Roman"/>
          <w:color w:val="000000"/>
          <w:sz w:val="32"/>
          <w:szCs w:val="32"/>
        </w:rPr>
        <w:t>加强部门协调配合，强化</w:t>
      </w:r>
      <w:r>
        <w:rPr>
          <w:rFonts w:ascii="Times New Roman" w:hAnsi="Times New Roman" w:eastAsia="仿宋_GB2312" w:cs="Times New Roman"/>
          <w:color w:val="000000"/>
          <w:sz w:val="32"/>
          <w:szCs w:val="32"/>
        </w:rPr>
        <w:t>重大项目税收</w:t>
      </w:r>
      <w:r>
        <w:rPr>
          <w:rFonts w:hint="eastAsia" w:ascii="Times New Roman" w:hAnsi="Times New Roman" w:eastAsia="仿宋_GB2312" w:cs="Times New Roman"/>
          <w:color w:val="000000"/>
          <w:sz w:val="32"/>
          <w:szCs w:val="32"/>
        </w:rPr>
        <w:t>征管</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二是</w:t>
      </w:r>
      <w:r>
        <w:rPr>
          <w:rFonts w:ascii="Times New Roman" w:hAnsi="Times New Roman" w:eastAsia="仿宋_GB2312" w:cs="Times New Roman"/>
          <w:color w:val="000000"/>
          <w:sz w:val="32"/>
          <w:szCs w:val="32"/>
        </w:rPr>
        <w:t>加大欠税清缴力度。三是</w:t>
      </w:r>
      <w:r>
        <w:rPr>
          <w:rFonts w:hint="eastAsia" w:ascii="Times New Roman" w:hAnsi="Times New Roman" w:eastAsia="仿宋_GB2312" w:cs="Times New Roman"/>
          <w:color w:val="000000"/>
          <w:sz w:val="32"/>
          <w:szCs w:val="32"/>
        </w:rPr>
        <w:t>按照国家相关规定，积极盘活存量国有资产</w:t>
      </w:r>
      <w:r>
        <w:rPr>
          <w:rFonts w:ascii="Times New Roman" w:hAnsi="Times New Roman" w:eastAsia="仿宋_GB2312" w:cs="Times New Roman"/>
          <w:sz w:val="32"/>
          <w:szCs w:val="32"/>
        </w:rPr>
        <w:t>。</w:t>
      </w:r>
    </w:p>
    <w:p>
      <w:pPr>
        <w:adjustRightInd w:val="0"/>
        <w:snapToGrid w:val="0"/>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（三）积极筹措争取资金，切实增加可用财力 </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受地方级财政收入短收和疫情等刚性支出增加等不利因素叠加影响，财政收支矛盾异常突出，为此，</w:t>
      </w:r>
      <w:r>
        <w:rPr>
          <w:rFonts w:ascii="Times New Roman" w:hAnsi="Times New Roman" w:eastAsia="仿宋_GB2312" w:cs="Times New Roman"/>
          <w:sz w:val="32"/>
          <w:szCs w:val="32"/>
        </w:rPr>
        <w:t>我们采取多种措施</w:t>
      </w:r>
      <w:r>
        <w:rPr>
          <w:rFonts w:hint="eastAsia" w:ascii="Times New Roman" w:hAnsi="Times New Roman" w:eastAsia="仿宋_GB2312" w:cs="Times New Roman"/>
          <w:sz w:val="32"/>
          <w:szCs w:val="32"/>
        </w:rPr>
        <w:t>筹措争取资金，切实</w:t>
      </w:r>
      <w:r>
        <w:rPr>
          <w:rFonts w:ascii="Times New Roman" w:hAnsi="Times New Roman" w:eastAsia="仿宋_GB2312" w:cs="Times New Roman"/>
          <w:sz w:val="32"/>
          <w:szCs w:val="32"/>
        </w:rPr>
        <w:t>增加可用财力。一是向上争取</w:t>
      </w:r>
      <w:r>
        <w:rPr>
          <w:rFonts w:hint="eastAsia" w:ascii="Times New Roman" w:hAnsi="Times New Roman" w:eastAsia="仿宋_GB2312" w:cs="Times New Roman"/>
          <w:sz w:val="32"/>
          <w:szCs w:val="32"/>
        </w:rPr>
        <w:t>补助资金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预计</w:t>
      </w:r>
      <w:r>
        <w:rPr>
          <w:rFonts w:ascii="Times New Roman" w:hAnsi="Times New Roman" w:eastAsia="仿宋_GB2312" w:cs="Times New Roman"/>
          <w:sz w:val="32"/>
          <w:szCs w:val="32"/>
        </w:rPr>
        <w:t>全年省下达</w:t>
      </w:r>
      <w:r>
        <w:rPr>
          <w:rFonts w:hint="eastAsia" w:ascii="Times New Roman" w:hAnsi="Times New Roman" w:eastAsia="仿宋_GB2312" w:cs="Times New Roman"/>
          <w:sz w:val="32"/>
          <w:szCs w:val="32"/>
        </w:rPr>
        <w:t>我市补助资金</w:t>
      </w:r>
      <w:r>
        <w:rPr>
          <w:rFonts w:hint="eastAsia" w:ascii="Times New Roman" w:hAnsi="Times New Roman" w:eastAsia="仿宋_GB2312" w:cs="Times New Roman"/>
          <w:color w:val="000000" w:themeColor="text1"/>
          <w:sz w:val="32"/>
          <w:szCs w:val="32"/>
          <w14:textFill>
            <w14:solidFill>
              <w14:schemeClr w14:val="tx1"/>
            </w14:solidFill>
          </w14:textFill>
        </w:rPr>
        <w:t>41.9</w:t>
      </w:r>
      <w:r>
        <w:rPr>
          <w:rFonts w:ascii="Times New Roman" w:hAnsi="Times New Roman" w:eastAsia="仿宋_GB2312" w:cs="Times New Roman"/>
          <w:color w:val="000000" w:themeColor="text1"/>
          <w:sz w:val="32"/>
          <w:szCs w:val="32"/>
          <w14:textFill>
            <w14:solidFill>
              <w14:schemeClr w14:val="tx1"/>
            </w14:solidFill>
          </w14:textFill>
        </w:rPr>
        <w:t>亿元，剔除一次性因素影响</w:t>
      </w:r>
      <w:r>
        <w:rPr>
          <w:rFonts w:hint="eastAsia" w:ascii="Times New Roman" w:hAnsi="Times New Roman" w:eastAsia="仿宋_GB2312" w:cs="Times New Roman"/>
          <w:color w:val="000000" w:themeColor="text1"/>
          <w:sz w:val="32"/>
          <w:szCs w:val="32"/>
          <w14:textFill>
            <w14:solidFill>
              <w14:schemeClr w14:val="tx1"/>
            </w14:solidFill>
          </w14:textFill>
        </w:rPr>
        <w:t>（2022年省下达我市跨省域补充耕地资金4.75亿元）</w:t>
      </w:r>
      <w:r>
        <w:rPr>
          <w:rFonts w:ascii="Times New Roman" w:hAnsi="Times New Roman" w:eastAsia="仿宋_GB2312" w:cs="Times New Roman"/>
          <w:color w:val="000000" w:themeColor="text1"/>
          <w:sz w:val="32"/>
          <w:szCs w:val="32"/>
          <w14:textFill>
            <w14:solidFill>
              <w14:schemeClr w14:val="tx1"/>
            </w14:solidFill>
          </w14:textFill>
        </w:rPr>
        <w:t>，同口径增长</w:t>
      </w:r>
      <w:r>
        <w:rPr>
          <w:rFonts w:hint="eastAsia" w:ascii="Times New Roman" w:hAnsi="Times New Roman" w:eastAsia="仿宋_GB2312" w:cs="Times New Roman"/>
          <w:bCs/>
          <w:color w:val="000000" w:themeColor="text1"/>
          <w:sz w:val="32"/>
          <w:szCs w:val="32"/>
          <w14:textFill>
            <w14:solidFill>
              <w14:schemeClr w14:val="tx1"/>
            </w14:solidFill>
          </w14:textFill>
        </w:rPr>
        <w:t>15.4</w:t>
      </w:r>
      <w:r>
        <w:rPr>
          <w:rFonts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sz w:val="32"/>
          <w:szCs w:val="32"/>
        </w:rPr>
        <w:t>是申报债券资金。全年到位新增债券资金</w:t>
      </w:r>
      <w:r>
        <w:rPr>
          <w:rFonts w:hint="eastAsia" w:ascii="Times New Roman" w:hAnsi="Times New Roman" w:eastAsia="仿宋_GB2312" w:cs="Times New Roman"/>
          <w:sz w:val="32"/>
          <w:szCs w:val="32"/>
        </w:rPr>
        <w:t>10.7</w:t>
      </w:r>
      <w:r>
        <w:rPr>
          <w:rFonts w:ascii="Times New Roman" w:hAnsi="Times New Roman" w:eastAsia="仿宋_GB2312" w:cs="Times New Roman"/>
          <w:sz w:val="32"/>
          <w:szCs w:val="32"/>
        </w:rPr>
        <w:t>亿元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剔除一次性因素影响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同口径增长86.7%</w:t>
      </w:r>
      <w:r>
        <w:rPr>
          <w:rFonts w:ascii="Times New Roman" w:hAnsi="Times New Roman" w:eastAsia="仿宋_GB2312" w:cs="Times New Roman"/>
          <w:sz w:val="32"/>
          <w:szCs w:val="32"/>
        </w:rPr>
        <w:t>。三是</w:t>
      </w:r>
      <w:r>
        <w:rPr>
          <w:rFonts w:hint="eastAsia" w:ascii="Times New Roman" w:hAnsi="Times New Roman" w:eastAsia="仿宋_GB2312" w:cs="Times New Roman"/>
          <w:sz w:val="32"/>
          <w:szCs w:val="32"/>
        </w:rPr>
        <w:t>继续</w:t>
      </w:r>
      <w:r>
        <w:rPr>
          <w:rFonts w:ascii="Times New Roman" w:hAnsi="Times New Roman" w:eastAsia="仿宋_GB2312" w:cs="Times New Roman"/>
          <w:sz w:val="32"/>
          <w:szCs w:val="32"/>
        </w:rPr>
        <w:t>清理盘活财政存量资金。预计全年清理盘活存量资金</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35</w:t>
      </w:r>
      <w:r>
        <w:rPr>
          <w:rFonts w:ascii="Times New Roman" w:hAnsi="Times New Roman" w:eastAsia="仿宋_GB2312" w:cs="Times New Roman"/>
          <w:sz w:val="32"/>
          <w:szCs w:val="32"/>
        </w:rPr>
        <w:t>亿元。</w:t>
      </w:r>
    </w:p>
    <w:p>
      <w:pPr>
        <w:adjustRightInd w:val="0"/>
        <w:snapToGrid w:val="0"/>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（四）加强财政库款调度，全力保障重点支出需要</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在财政收支矛盾突出情况下，我们加强财政库款调度，</w:t>
      </w:r>
      <w:r>
        <w:rPr>
          <w:rFonts w:ascii="Times New Roman" w:hAnsi="Times New Roman" w:eastAsia="仿宋_GB2312" w:cs="Times New Roman"/>
          <w:sz w:val="32"/>
          <w:szCs w:val="32"/>
        </w:rPr>
        <w:t>集中财力保障</w:t>
      </w:r>
      <w:r>
        <w:rPr>
          <w:rFonts w:hint="eastAsia" w:ascii="Times New Roman" w:hAnsi="Times New Roman" w:eastAsia="仿宋_GB2312" w:cs="Times New Roman"/>
          <w:sz w:val="32"/>
          <w:szCs w:val="32"/>
        </w:rPr>
        <w:t>财政</w:t>
      </w:r>
      <w:r>
        <w:rPr>
          <w:rFonts w:ascii="Times New Roman" w:hAnsi="Times New Roman" w:eastAsia="仿宋_GB2312" w:cs="Times New Roman"/>
          <w:sz w:val="32"/>
          <w:szCs w:val="32"/>
        </w:rPr>
        <w:t>“三保”支出，</w:t>
      </w:r>
      <w:r>
        <w:rPr>
          <w:rFonts w:hint="eastAsia" w:ascii="Times New Roman" w:hAnsi="Times New Roman" w:eastAsia="仿宋_GB2312" w:cs="Times New Roman"/>
          <w:sz w:val="32"/>
          <w:szCs w:val="32"/>
        </w:rPr>
        <w:t>特别是将“保工资”支出置于最优支出方向，其次安排“保运转”、“保民生”支出，在保障“三保”支出前提下，统筹使用各类资金，支持重点项目建设，促进经济社会协调发展</w:t>
      </w:r>
      <w:r>
        <w:rPr>
          <w:rFonts w:ascii="Times New Roman" w:hAnsi="Times New Roman" w:eastAsia="仿宋_GB2312" w:cs="Times New Roman"/>
          <w:sz w:val="32"/>
          <w:szCs w:val="32"/>
        </w:rPr>
        <w:t>。</w:t>
      </w:r>
    </w:p>
    <w:p>
      <w:pPr>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.坚持“保工资”最优支出方向，足额安排事业运转经费。</w:t>
      </w:r>
      <w:r>
        <w:rPr>
          <w:rFonts w:ascii="Times New Roman" w:hAnsi="Times New Roman" w:eastAsia="仿宋_GB2312" w:cs="Times New Roman"/>
          <w:sz w:val="32"/>
          <w:szCs w:val="32"/>
        </w:rPr>
        <w:t>筹措拨付资金</w:t>
      </w:r>
      <w:r>
        <w:rPr>
          <w:rFonts w:hint="eastAsia" w:ascii="Times New Roman" w:hAnsi="Times New Roman" w:eastAsia="仿宋_GB2312" w:cs="Times New Roman"/>
          <w:color w:val="000000" w:themeColor="text1"/>
          <w:sz w:val="32"/>
          <w:szCs w:val="32"/>
          <w14:textFill>
            <w14:solidFill>
              <w14:schemeClr w14:val="tx1"/>
            </w14:solidFill>
          </w14:textFill>
        </w:rPr>
        <w:t>16.7</w:t>
      </w:r>
      <w:r>
        <w:rPr>
          <w:rFonts w:ascii="Times New Roman" w:hAnsi="Times New Roman" w:eastAsia="仿宋_GB2312" w:cs="Times New Roman"/>
          <w:sz w:val="32"/>
          <w:szCs w:val="32"/>
        </w:rPr>
        <w:t>亿元，</w:t>
      </w:r>
      <w:r>
        <w:rPr>
          <w:rFonts w:hint="eastAsia" w:ascii="Times New Roman" w:hAnsi="Times New Roman" w:eastAsia="仿宋_GB2312" w:cs="Times New Roman"/>
          <w:sz w:val="32"/>
          <w:szCs w:val="32"/>
        </w:rPr>
        <w:t>落实调整工资、规范公务员绩效奖金政策，提高职工采暖费补贴标准和住房公积金财政匹配比例；</w:t>
      </w:r>
      <w:r>
        <w:rPr>
          <w:rFonts w:ascii="Times New Roman" w:hAnsi="Times New Roman" w:eastAsia="仿宋_GB2312" w:cs="Times New Roman"/>
          <w:sz w:val="32"/>
          <w:szCs w:val="32"/>
        </w:rPr>
        <w:t>按时拨付各单位公用经费、专项业务费和村级组织运转等经</w:t>
      </w:r>
      <w:r>
        <w:rPr>
          <w:rFonts w:hint="eastAsia" w:ascii="Times New Roman" w:hAnsi="Times New Roman" w:eastAsia="仿宋_GB2312" w:cs="Times New Roman"/>
          <w:sz w:val="32"/>
          <w:szCs w:val="32"/>
        </w:rPr>
        <w:t>费，提高城市管理支出保障水平</w:t>
      </w:r>
      <w:r>
        <w:rPr>
          <w:rFonts w:ascii="Times New Roman" w:hAnsi="Times New Roman" w:eastAsia="仿宋_GB2312" w:cs="Times New Roman"/>
          <w:sz w:val="32"/>
          <w:szCs w:val="32"/>
        </w:rPr>
        <w:t>。</w:t>
      </w:r>
    </w:p>
    <w:p>
      <w:pPr>
        <w:adjustRightInd w:val="0"/>
        <w:snapToGrid w:val="0"/>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.加大“保民生”资金投入，</w:t>
      </w:r>
      <w:r>
        <w:rPr>
          <w:rFonts w:ascii="Times New Roman" w:hAnsi="Times New Roman" w:eastAsia="仿宋_GB2312" w:cs="Times New Roman"/>
          <w:b/>
          <w:sz w:val="32"/>
          <w:szCs w:val="32"/>
        </w:rPr>
        <w:t>推动社会事业发展。</w:t>
      </w:r>
      <w:r>
        <w:rPr>
          <w:rFonts w:ascii="Times New Roman" w:hAnsi="Times New Roman" w:eastAsia="仿宋_GB2312" w:cs="Times New Roman"/>
          <w:sz w:val="32"/>
          <w:szCs w:val="32"/>
        </w:rPr>
        <w:t>筹措拨付</w:t>
      </w:r>
      <w:r>
        <w:rPr>
          <w:rFonts w:ascii="Times New Roman" w:hAnsi="Times New Roman" w:eastAsia="仿宋_GB2312" w:cs="Times New Roman"/>
          <w:color w:val="000000"/>
          <w:sz w:val="32"/>
          <w:szCs w:val="32"/>
        </w:rPr>
        <w:t>资金</w:t>
      </w:r>
      <w:r>
        <w:rPr>
          <w:rFonts w:hint="eastAsia" w:ascii="Times New Roman" w:hAnsi="Times New Roman" w:eastAsia="仿宋_GB2312" w:cs="Times New Roman"/>
          <w:color w:val="000000" w:themeColor="text1"/>
          <w:sz w:val="32"/>
          <w:szCs w:val="32"/>
          <w14:textFill>
            <w14:solidFill>
              <w14:schemeClr w14:val="tx1"/>
            </w14:solidFill>
          </w14:textFill>
        </w:rPr>
        <w:t>21.38</w:t>
      </w:r>
      <w:r>
        <w:rPr>
          <w:rFonts w:ascii="Times New Roman" w:hAnsi="Times New Roman" w:eastAsia="仿宋_GB2312" w:cs="Times New Roman"/>
          <w:color w:val="000000"/>
          <w:sz w:val="32"/>
          <w:szCs w:val="32"/>
        </w:rPr>
        <w:t>亿元，用于保障改善民生，推动社会事业发展</w:t>
      </w:r>
      <w:r>
        <w:rPr>
          <w:rFonts w:ascii="Times New Roman" w:hAnsi="Times New Roman" w:eastAsia="仿宋_GB2312" w:cs="Times New Roman"/>
          <w:color w:val="000000"/>
          <w:kern w:val="0"/>
          <w:sz w:val="32"/>
          <w:szCs w:val="32"/>
        </w:rPr>
        <w:t>。一是</w:t>
      </w:r>
      <w:r>
        <w:rPr>
          <w:rFonts w:hint="eastAsia" w:ascii="Times New Roman" w:hAnsi="Times New Roman" w:eastAsia="仿宋_GB2312" w:cs="Times New Roman"/>
          <w:color w:val="000000"/>
          <w:kern w:val="0"/>
          <w:sz w:val="32"/>
          <w:szCs w:val="32"/>
        </w:rPr>
        <w:t>巩固脱贫攻坚成果衔接推进乡村振兴</w:t>
      </w:r>
      <w:r>
        <w:rPr>
          <w:rFonts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安排</w:t>
      </w:r>
      <w:r>
        <w:rPr>
          <w:rFonts w:ascii="Times New Roman" w:hAnsi="Times New Roman" w:eastAsia="仿宋_GB2312" w:cs="Times New Roman"/>
          <w:color w:val="000000"/>
          <w:sz w:val="32"/>
          <w:szCs w:val="32"/>
        </w:rPr>
        <w:t>资金</w:t>
      </w:r>
      <w:r>
        <w:rPr>
          <w:rFonts w:hint="eastAsia" w:ascii="Times New Roman" w:hAnsi="Times New Roman" w:eastAsia="仿宋_GB2312" w:cs="Times New Roman"/>
          <w:color w:val="000000" w:themeColor="text1"/>
          <w:sz w:val="32"/>
          <w:szCs w:val="32"/>
          <w14:textFill>
            <w14:solidFill>
              <w14:schemeClr w14:val="tx1"/>
            </w14:solidFill>
          </w14:textFill>
        </w:rPr>
        <w:t>4.87</w:t>
      </w:r>
      <w:r>
        <w:rPr>
          <w:rFonts w:ascii="Times New Roman" w:hAnsi="Times New Roman" w:eastAsia="仿宋_GB2312" w:cs="Times New Roman"/>
          <w:color w:val="000000"/>
          <w:sz w:val="32"/>
          <w:szCs w:val="32"/>
        </w:rPr>
        <w:t>亿元，支持</w:t>
      </w:r>
      <w:r>
        <w:rPr>
          <w:rFonts w:hint="eastAsia" w:ascii="Times New Roman" w:hAnsi="Times New Roman" w:eastAsia="仿宋_GB2312" w:cs="Times New Roman"/>
          <w:color w:val="000000"/>
          <w:sz w:val="32"/>
          <w:szCs w:val="32"/>
        </w:rPr>
        <w:t>脱贫户</w:t>
      </w:r>
      <w:r>
        <w:rPr>
          <w:rFonts w:ascii="Times New Roman" w:hAnsi="Times New Roman" w:eastAsia="仿宋_GB2312" w:cs="Times New Roman"/>
          <w:color w:val="000000"/>
          <w:sz w:val="32"/>
          <w:szCs w:val="32"/>
        </w:rPr>
        <w:t>发展生产、推进农村基础设施建设</w:t>
      </w:r>
      <w:r>
        <w:rPr>
          <w:rFonts w:hint="eastAsia" w:ascii="Times New Roman" w:hAnsi="Times New Roman" w:eastAsia="仿宋_GB2312" w:cs="Times New Roman"/>
          <w:color w:val="000000"/>
          <w:sz w:val="32"/>
          <w:szCs w:val="32"/>
        </w:rPr>
        <w:t>、开展村屯环境整治</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落实</w:t>
      </w:r>
      <w:r>
        <w:rPr>
          <w:rFonts w:ascii="Times New Roman" w:hAnsi="Times New Roman" w:eastAsia="仿宋_GB2312" w:cs="Times New Roman"/>
          <w:color w:val="000000"/>
          <w:sz w:val="32"/>
          <w:szCs w:val="32"/>
        </w:rPr>
        <w:t>扶贫公益岗</w:t>
      </w:r>
      <w:r>
        <w:rPr>
          <w:rFonts w:hint="eastAsia" w:ascii="Times New Roman" w:hAnsi="Times New Roman" w:eastAsia="仿宋_GB2312" w:cs="Times New Roman"/>
          <w:color w:val="000000"/>
          <w:sz w:val="32"/>
          <w:szCs w:val="32"/>
        </w:rPr>
        <w:t>、辅助岗补贴和</w:t>
      </w:r>
      <w:r>
        <w:rPr>
          <w:rFonts w:ascii="Times New Roman" w:hAnsi="Times New Roman" w:eastAsia="仿宋_GB2312" w:cs="Times New Roman"/>
          <w:color w:val="000000"/>
          <w:sz w:val="32"/>
          <w:szCs w:val="32"/>
        </w:rPr>
        <w:t>各项扶贫兜底保障政策。二是支持创业就业。</w:t>
      </w:r>
      <w:r>
        <w:rPr>
          <w:rFonts w:ascii="Times New Roman" w:hAnsi="Times New Roman" w:eastAsia="仿宋_GB2312" w:cs="Times New Roman"/>
          <w:sz w:val="32"/>
          <w:szCs w:val="32"/>
        </w:rPr>
        <w:t>拨付</w:t>
      </w:r>
      <w:r>
        <w:rPr>
          <w:rFonts w:ascii="Times New Roman" w:hAnsi="Times New Roman" w:eastAsia="仿宋_GB2312" w:cs="Times New Roman"/>
          <w:color w:val="000000"/>
          <w:sz w:val="32"/>
          <w:szCs w:val="32"/>
        </w:rPr>
        <w:t>资金</w:t>
      </w:r>
      <w:r>
        <w:rPr>
          <w:rFonts w:ascii="Times New Roman" w:hAnsi="Times New Roman" w:eastAsia="仿宋_GB2312" w:cs="Times New Roman"/>
          <w:color w:val="000000" w:themeColor="text1"/>
          <w:sz w:val="32"/>
          <w:szCs w:val="32"/>
          <w14:textFill>
            <w14:solidFill>
              <w14:schemeClr w14:val="tx1"/>
            </w14:solidFill>
          </w14:textFill>
        </w:rPr>
        <w:t>0.4</w:t>
      </w:r>
      <w:r>
        <w:rPr>
          <w:rFonts w:hint="eastAsia"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sz w:val="32"/>
          <w:szCs w:val="32"/>
        </w:rPr>
        <w:t>亿元，</w:t>
      </w:r>
      <w:r>
        <w:rPr>
          <w:rFonts w:hint="eastAsia" w:ascii="Times New Roman" w:hAnsi="Times New Roman" w:eastAsia="仿宋_GB2312" w:cs="Times New Roman"/>
          <w:color w:val="000000"/>
          <w:sz w:val="32"/>
          <w:szCs w:val="32"/>
        </w:rPr>
        <w:t>支持开发</w:t>
      </w:r>
      <w:r>
        <w:rPr>
          <w:rFonts w:ascii="Times New Roman" w:hAnsi="Times New Roman" w:eastAsia="仿宋_GB2312" w:cs="Times New Roman"/>
          <w:color w:val="000000"/>
          <w:sz w:val="32"/>
          <w:szCs w:val="32"/>
        </w:rPr>
        <w:t>公益岗，开展职业技能培训，发放稳岗补贴。三</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养老保障</w:t>
      </w:r>
      <w:r>
        <w:rPr>
          <w:rFonts w:hint="eastAsia" w:ascii="Times New Roman" w:hAnsi="Times New Roman" w:eastAsia="仿宋_GB2312" w:cs="Times New Roman"/>
          <w:sz w:val="32"/>
          <w:szCs w:val="32"/>
        </w:rPr>
        <w:t>体系</w:t>
      </w:r>
      <w:r>
        <w:rPr>
          <w:rFonts w:ascii="Times New Roman" w:hAnsi="Times New Roman" w:eastAsia="仿宋_GB2312" w:cs="Times New Roman"/>
          <w:sz w:val="32"/>
          <w:szCs w:val="32"/>
        </w:rPr>
        <w:t>。拨付</w:t>
      </w:r>
      <w:r>
        <w:rPr>
          <w:rFonts w:ascii="Times New Roman" w:hAnsi="Times New Roman" w:eastAsia="仿宋_GB2312" w:cs="Times New Roman"/>
          <w:color w:val="000000"/>
          <w:sz w:val="32"/>
          <w:szCs w:val="32"/>
        </w:rPr>
        <w:t>资金</w:t>
      </w:r>
      <w:r>
        <w:rPr>
          <w:rFonts w:hint="eastAsia" w:ascii="Times New Roman" w:hAnsi="Times New Roman" w:eastAsia="仿宋_GB2312" w:cs="Times New Roman"/>
          <w:color w:val="000000" w:themeColor="text1"/>
          <w:sz w:val="32"/>
          <w:szCs w:val="32"/>
          <w14:textFill>
            <w14:solidFill>
              <w14:schemeClr w14:val="tx1"/>
            </w14:solidFill>
          </w14:textFill>
        </w:rPr>
        <w:t>2.28</w:t>
      </w:r>
      <w:r>
        <w:rPr>
          <w:rFonts w:ascii="Times New Roman" w:hAnsi="Times New Roman" w:eastAsia="仿宋_GB2312" w:cs="Times New Roman"/>
          <w:color w:val="000000"/>
          <w:sz w:val="32"/>
          <w:szCs w:val="32"/>
        </w:rPr>
        <w:t>亿元，</w:t>
      </w:r>
      <w:r>
        <w:rPr>
          <w:rFonts w:hint="eastAsia" w:ascii="Times New Roman" w:hAnsi="Times New Roman" w:eastAsia="仿宋_GB2312" w:cs="Times New Roman"/>
          <w:color w:val="000000"/>
          <w:sz w:val="32"/>
          <w:szCs w:val="32"/>
        </w:rPr>
        <w:t>继续</w:t>
      </w:r>
      <w:r>
        <w:rPr>
          <w:rFonts w:ascii="Times New Roman" w:hAnsi="Times New Roman" w:eastAsia="仿宋_GB2312" w:cs="Times New Roman"/>
          <w:sz w:val="32"/>
          <w:szCs w:val="32"/>
        </w:rPr>
        <w:t>提高</w:t>
      </w:r>
      <w:r>
        <w:rPr>
          <w:rFonts w:hint="eastAsia" w:ascii="Times New Roman" w:hAnsi="Times New Roman" w:eastAsia="仿宋_GB2312" w:cs="Times New Roman"/>
          <w:sz w:val="32"/>
          <w:szCs w:val="32"/>
        </w:rPr>
        <w:t>退休职工工资水平、</w:t>
      </w:r>
      <w:r>
        <w:rPr>
          <w:rFonts w:ascii="Times New Roman" w:hAnsi="Times New Roman" w:eastAsia="仿宋_GB2312" w:cs="Times New Roman"/>
          <w:sz w:val="32"/>
          <w:szCs w:val="32"/>
        </w:rPr>
        <w:t>城乡居</w:t>
      </w:r>
      <w:r>
        <w:rPr>
          <w:rFonts w:hint="eastAsia" w:ascii="Times New Roman" w:hAnsi="Times New Roman" w:eastAsia="仿宋_GB2312" w:cs="Times New Roman"/>
          <w:sz w:val="32"/>
          <w:szCs w:val="32"/>
        </w:rPr>
        <w:t>民</w:t>
      </w:r>
      <w:r>
        <w:rPr>
          <w:rFonts w:ascii="Times New Roman" w:hAnsi="Times New Roman" w:eastAsia="仿宋_GB2312" w:cs="Times New Roman"/>
          <w:sz w:val="32"/>
          <w:szCs w:val="32"/>
        </w:rPr>
        <w:t>基础养老金待遇标准，支持</w:t>
      </w:r>
      <w:r>
        <w:rPr>
          <w:rFonts w:hint="eastAsia" w:ascii="Times New Roman" w:hAnsi="Times New Roman" w:eastAsia="仿宋_GB2312" w:cs="Times New Roman"/>
          <w:sz w:val="32"/>
          <w:szCs w:val="32"/>
        </w:rPr>
        <w:t>红岗子特殊供养中心</w:t>
      </w:r>
      <w:r>
        <w:rPr>
          <w:rFonts w:ascii="Times New Roman" w:hAnsi="Times New Roman" w:eastAsia="仿宋_GB2312" w:cs="Times New Roman"/>
          <w:sz w:val="32"/>
          <w:szCs w:val="32"/>
        </w:rPr>
        <w:t>项目建设。四是</w:t>
      </w:r>
      <w:r>
        <w:rPr>
          <w:rFonts w:hint="eastAsia" w:ascii="Times New Roman" w:hAnsi="Times New Roman" w:eastAsia="仿宋_GB2312" w:cs="Times New Roman"/>
          <w:sz w:val="32"/>
          <w:szCs w:val="32"/>
        </w:rPr>
        <w:t>持续关注</w:t>
      </w:r>
      <w:r>
        <w:rPr>
          <w:rFonts w:ascii="Times New Roman" w:hAnsi="Times New Roman" w:eastAsia="仿宋_GB2312" w:cs="Times New Roman"/>
          <w:sz w:val="32"/>
          <w:szCs w:val="32"/>
        </w:rPr>
        <w:t>低收入群体。拨付</w:t>
      </w:r>
      <w:r>
        <w:rPr>
          <w:rFonts w:ascii="Times New Roman" w:hAnsi="Times New Roman" w:eastAsia="仿宋_GB2312" w:cs="Times New Roman"/>
          <w:color w:val="000000"/>
          <w:sz w:val="32"/>
          <w:szCs w:val="32"/>
        </w:rPr>
        <w:t>资金</w:t>
      </w:r>
      <w:r>
        <w:rPr>
          <w:rFonts w:hint="eastAsia" w:ascii="Times New Roman" w:hAnsi="Times New Roman" w:eastAsia="仿宋_GB2312" w:cs="Times New Roman"/>
          <w:color w:val="000000" w:themeColor="text1"/>
          <w:sz w:val="32"/>
          <w:szCs w:val="32"/>
          <w14:textFill>
            <w14:solidFill>
              <w14:schemeClr w14:val="tx1"/>
            </w14:solidFill>
          </w14:textFill>
        </w:rPr>
        <w:t>1.47</w:t>
      </w:r>
      <w:r>
        <w:rPr>
          <w:rFonts w:ascii="Times New Roman" w:hAnsi="Times New Roman" w:eastAsia="仿宋_GB2312" w:cs="Times New Roman"/>
          <w:color w:val="000000"/>
          <w:sz w:val="32"/>
          <w:szCs w:val="32"/>
        </w:rPr>
        <w:t>亿元，</w:t>
      </w:r>
      <w:r>
        <w:rPr>
          <w:rFonts w:hint="eastAsia" w:ascii="Times New Roman" w:hAnsi="Times New Roman" w:eastAsia="仿宋_GB2312" w:cs="Times New Roman"/>
          <w:sz w:val="32"/>
          <w:szCs w:val="32"/>
        </w:rPr>
        <w:t>按时发放</w:t>
      </w:r>
      <w:r>
        <w:rPr>
          <w:rFonts w:ascii="Times New Roman" w:hAnsi="Times New Roman" w:eastAsia="仿宋_GB2312" w:cs="Times New Roman"/>
          <w:sz w:val="32"/>
          <w:szCs w:val="32"/>
        </w:rPr>
        <w:t>城乡困难群众、遗属、精简</w:t>
      </w:r>
      <w:r>
        <w:rPr>
          <w:rFonts w:hint="eastAsia" w:ascii="Times New Roman" w:hAnsi="Times New Roman" w:eastAsia="仿宋_GB2312" w:cs="Times New Roman"/>
          <w:sz w:val="32"/>
          <w:szCs w:val="32"/>
        </w:rPr>
        <w:t>、高龄老人</w:t>
      </w:r>
      <w:r>
        <w:rPr>
          <w:rFonts w:ascii="Times New Roman" w:hAnsi="Times New Roman" w:eastAsia="仿宋_GB2312" w:cs="Times New Roman"/>
          <w:sz w:val="32"/>
          <w:szCs w:val="32"/>
        </w:rPr>
        <w:t>生活补助</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残疾人两项补贴，支持残疾人康复项目。五是坚持优先发展教育事业。拨付</w:t>
      </w:r>
      <w:r>
        <w:rPr>
          <w:rFonts w:ascii="Times New Roman" w:hAnsi="Times New Roman" w:eastAsia="仿宋_GB2312" w:cs="Times New Roman"/>
          <w:color w:val="000000"/>
          <w:sz w:val="32"/>
          <w:szCs w:val="32"/>
        </w:rPr>
        <w:t>资金</w:t>
      </w:r>
      <w:r>
        <w:rPr>
          <w:rFonts w:hint="eastAsia" w:ascii="Times New Roman" w:hAnsi="Times New Roman" w:eastAsia="仿宋_GB2312" w:cs="Times New Roman"/>
          <w:color w:val="000000" w:themeColor="text1"/>
          <w:sz w:val="32"/>
          <w:szCs w:val="32"/>
          <w14:textFill>
            <w14:solidFill>
              <w14:schemeClr w14:val="tx1"/>
            </w14:solidFill>
          </w14:textFill>
        </w:rPr>
        <w:t>1.25</w:t>
      </w:r>
      <w:r>
        <w:rPr>
          <w:rFonts w:ascii="Times New Roman" w:hAnsi="Times New Roman" w:eastAsia="仿宋_GB2312" w:cs="Times New Roman"/>
          <w:color w:val="000000"/>
          <w:sz w:val="32"/>
          <w:szCs w:val="32"/>
        </w:rPr>
        <w:t>亿元，</w:t>
      </w:r>
      <w:r>
        <w:rPr>
          <w:rFonts w:hint="eastAsia" w:ascii="Times New Roman" w:hAnsi="Times New Roman" w:eastAsia="仿宋_GB2312" w:cs="Times New Roman"/>
          <w:color w:val="000000" w:themeColor="text1"/>
          <w:sz w:val="32"/>
          <w:szCs w:val="32"/>
          <w14:textFill>
            <w14:solidFill>
              <w14:schemeClr w14:val="tx1"/>
            </w14:solidFill>
          </w14:textFill>
        </w:rPr>
        <w:t>足额保障学前教育、义务教育、高中教育、职业教育、继续教育阶段</w:t>
      </w:r>
      <w:r>
        <w:rPr>
          <w:rFonts w:ascii="Times New Roman" w:hAnsi="Times New Roman" w:eastAsia="仿宋_GB2312" w:cs="Times New Roman"/>
          <w:color w:val="000000" w:themeColor="text1"/>
          <w:sz w:val="32"/>
          <w:szCs w:val="32"/>
          <w14:textFill>
            <w14:solidFill>
              <w14:schemeClr w14:val="tx1"/>
            </w14:solidFill>
          </w14:textFill>
        </w:rPr>
        <w:t>公用经费，</w:t>
      </w:r>
      <w:r>
        <w:rPr>
          <w:rFonts w:ascii="Times New Roman" w:hAnsi="Times New Roman" w:eastAsia="仿宋_GB2312" w:cs="Times New Roman"/>
          <w:sz w:val="32"/>
          <w:szCs w:val="32"/>
        </w:rPr>
        <w:t>支持改善办学条件</w:t>
      </w:r>
      <w:r>
        <w:rPr>
          <w:rFonts w:hint="eastAsia" w:ascii="Times New Roman" w:hAnsi="Times New Roman" w:eastAsia="仿宋_GB2312" w:cs="Times New Roman"/>
          <w:sz w:val="32"/>
          <w:szCs w:val="32"/>
        </w:rPr>
        <w:t>和开展课后服务工作，建立校舍安全长效机制</w:t>
      </w:r>
      <w:r>
        <w:rPr>
          <w:rFonts w:ascii="Times New Roman" w:hAnsi="Times New Roman" w:eastAsia="仿宋_GB2312" w:cs="Times New Roman"/>
          <w:sz w:val="32"/>
          <w:szCs w:val="32"/>
        </w:rPr>
        <w:t>。六是加大卫生健康投入，补齐公共卫生服务能力短板。拨付</w:t>
      </w:r>
      <w:r>
        <w:rPr>
          <w:rFonts w:ascii="Times New Roman" w:hAnsi="Times New Roman" w:eastAsia="仿宋_GB2312" w:cs="Times New Roman"/>
          <w:color w:val="000000"/>
          <w:sz w:val="32"/>
          <w:szCs w:val="32"/>
        </w:rPr>
        <w:t>资金</w:t>
      </w:r>
      <w:r>
        <w:rPr>
          <w:rFonts w:hint="eastAsia" w:ascii="Times New Roman" w:hAnsi="Times New Roman" w:eastAsia="仿宋_GB2312" w:cs="Times New Roman"/>
          <w:color w:val="000000" w:themeColor="text1"/>
          <w:sz w:val="32"/>
          <w:szCs w:val="32"/>
          <w14:textFill>
            <w14:solidFill>
              <w14:schemeClr w14:val="tx1"/>
            </w14:solidFill>
          </w14:textFill>
        </w:rPr>
        <w:t>1.77</w:t>
      </w:r>
      <w:r>
        <w:rPr>
          <w:rFonts w:ascii="Times New Roman" w:hAnsi="Times New Roman" w:eastAsia="仿宋_GB2312" w:cs="Times New Roman"/>
          <w:color w:val="000000" w:themeColor="text1"/>
          <w:sz w:val="32"/>
          <w:szCs w:val="32"/>
          <w14:textFill>
            <w14:solidFill>
              <w14:schemeClr w14:val="tx1"/>
            </w14:solidFill>
          </w14:textFill>
        </w:rPr>
        <w:t>亿元，继续提高城乡居民医疗保险、基本公共卫生服务费财政补助标准，</w:t>
      </w:r>
      <w:r>
        <w:rPr>
          <w:rFonts w:hint="eastAsia" w:ascii="Times New Roman" w:hAnsi="Times New Roman" w:eastAsia="仿宋_GB2312" w:cs="Times New Roman"/>
          <w:color w:val="000000" w:themeColor="text1"/>
          <w:sz w:val="32"/>
          <w:szCs w:val="32"/>
          <w14:textFill>
            <w14:solidFill>
              <w14:schemeClr w14:val="tx1"/>
            </w14:solidFill>
          </w14:textFill>
        </w:rPr>
        <w:t>完成</w:t>
      </w:r>
      <w:r>
        <w:rPr>
          <w:rFonts w:ascii="Times New Roman" w:hAnsi="Times New Roman" w:eastAsia="仿宋_GB2312" w:cs="Times New Roman"/>
          <w:color w:val="000000" w:themeColor="text1"/>
          <w:sz w:val="32"/>
          <w:szCs w:val="32"/>
          <w14:textFill>
            <w14:solidFill>
              <w14:schemeClr w14:val="tx1"/>
            </w14:solidFill>
          </w14:textFill>
        </w:rPr>
        <w:t>妇幼保健院移址改建</w:t>
      </w:r>
      <w:r>
        <w:rPr>
          <w:rFonts w:hint="eastAsia" w:ascii="Times New Roman" w:hAnsi="Times New Roman" w:eastAsia="仿宋_GB2312" w:cs="Times New Roman"/>
          <w:color w:val="000000" w:themeColor="text1"/>
          <w:sz w:val="32"/>
          <w:szCs w:val="32"/>
          <w14:textFill>
            <w14:solidFill>
              <w14:schemeClr w14:val="tx1"/>
            </w14:solidFill>
          </w14:textFill>
        </w:rPr>
        <w:t>，切实保障疫情防控资金需求</w:t>
      </w:r>
      <w:r>
        <w:rPr>
          <w:rFonts w:ascii="Times New Roman" w:hAnsi="Times New Roman" w:eastAsia="仿宋_GB2312" w:cs="Times New Roman"/>
          <w:color w:val="000000" w:themeColor="text1"/>
          <w:sz w:val="32"/>
          <w:szCs w:val="32"/>
          <w14:textFill>
            <w14:solidFill>
              <w14:schemeClr w14:val="tx1"/>
            </w14:solidFill>
          </w14:textFill>
        </w:rPr>
        <w:t>。七是</w:t>
      </w:r>
      <w:r>
        <w:rPr>
          <w:rFonts w:hint="eastAsia" w:ascii="Times New Roman" w:hAnsi="Times New Roman" w:eastAsia="仿宋_GB2312" w:cs="Times New Roman"/>
          <w:color w:val="000000" w:themeColor="text1"/>
          <w:sz w:val="32"/>
          <w:szCs w:val="32"/>
          <w14:textFill>
            <w14:solidFill>
              <w14:schemeClr w14:val="tx1"/>
            </w14:solidFill>
          </w14:textFill>
        </w:rPr>
        <w:t>支持</w:t>
      </w:r>
      <w:r>
        <w:rPr>
          <w:rFonts w:ascii="Times New Roman" w:hAnsi="Times New Roman" w:eastAsia="仿宋_GB2312" w:cs="Times New Roman"/>
          <w:color w:val="000000" w:themeColor="text1"/>
          <w:sz w:val="32"/>
          <w:szCs w:val="32"/>
          <w14:textFill>
            <w14:solidFill>
              <w14:schemeClr w14:val="tx1"/>
            </w14:solidFill>
          </w14:textFill>
        </w:rPr>
        <w:t>科技、文化体育事业发展。拨付资金0.</w:t>
      </w:r>
      <w:r>
        <w:rPr>
          <w:rFonts w:hint="eastAsia" w:ascii="Times New Roman" w:hAnsi="Times New Roman" w:eastAsia="仿宋_GB2312" w:cs="Times New Roman"/>
          <w:color w:val="000000" w:themeColor="text1"/>
          <w:sz w:val="32"/>
          <w:szCs w:val="32"/>
          <w14:textFill>
            <w14:solidFill>
              <w14:schemeClr w14:val="tx1"/>
            </w14:solidFill>
          </w14:textFill>
        </w:rPr>
        <w:t>13</w:t>
      </w:r>
      <w:r>
        <w:rPr>
          <w:rFonts w:ascii="Times New Roman" w:hAnsi="Times New Roman" w:eastAsia="仿宋_GB2312" w:cs="Times New Roman"/>
          <w:color w:val="000000" w:themeColor="text1"/>
          <w:sz w:val="32"/>
          <w:szCs w:val="32"/>
          <w14:textFill>
            <w14:solidFill>
              <w14:schemeClr w14:val="tx1"/>
            </w14:solidFill>
          </w14:textFill>
        </w:rPr>
        <w:t>亿</w:t>
      </w:r>
      <w:r>
        <w:rPr>
          <w:rFonts w:ascii="Times New Roman" w:hAnsi="Times New Roman" w:eastAsia="仿宋_GB2312" w:cs="Times New Roman"/>
          <w:color w:val="000000"/>
          <w:sz w:val="32"/>
          <w:szCs w:val="32"/>
        </w:rPr>
        <w:t>元，支持科技成果转化、文化场馆免费开</w:t>
      </w:r>
      <w:r>
        <w:rPr>
          <w:rFonts w:hint="eastAsia" w:ascii="Times New Roman" w:hAnsi="Times New Roman" w:eastAsia="仿宋_GB2312" w:cs="Times New Roman"/>
          <w:color w:val="000000"/>
          <w:sz w:val="32"/>
          <w:szCs w:val="32"/>
        </w:rPr>
        <w:t>放</w:t>
      </w:r>
      <w:r>
        <w:rPr>
          <w:rFonts w:ascii="Times New Roman" w:hAnsi="Times New Roman" w:eastAsia="仿宋_GB2312" w:cs="Times New Roman"/>
          <w:color w:val="000000"/>
          <w:sz w:val="32"/>
          <w:szCs w:val="32"/>
        </w:rPr>
        <w:t>、公共文化体系建设，</w:t>
      </w:r>
      <w:r>
        <w:rPr>
          <w:rFonts w:hint="eastAsia" w:ascii="Times New Roman" w:hAnsi="Times New Roman" w:eastAsia="仿宋_GB2312" w:cs="Times New Roman"/>
          <w:color w:val="000000"/>
          <w:sz w:val="32"/>
          <w:szCs w:val="32"/>
        </w:rPr>
        <w:t>继续</w:t>
      </w:r>
      <w:r>
        <w:rPr>
          <w:rFonts w:ascii="Times New Roman" w:hAnsi="Times New Roman" w:eastAsia="仿宋_GB2312" w:cs="Times New Roman"/>
          <w:color w:val="000000"/>
          <w:sz w:val="32"/>
          <w:szCs w:val="32"/>
        </w:rPr>
        <w:t>推进“新三馆”、</w:t>
      </w:r>
      <w:r>
        <w:rPr>
          <w:rFonts w:hint="eastAsia" w:ascii="Times New Roman" w:hAnsi="Times New Roman" w:eastAsia="仿宋_GB2312" w:cs="Times New Roman"/>
          <w:color w:val="000000"/>
          <w:sz w:val="32"/>
          <w:szCs w:val="32"/>
        </w:rPr>
        <w:t>老年门球馆</w:t>
      </w:r>
      <w:r>
        <w:rPr>
          <w:rFonts w:ascii="Times New Roman" w:hAnsi="Times New Roman" w:eastAsia="仿宋_GB2312" w:cs="Times New Roman"/>
          <w:color w:val="000000"/>
          <w:sz w:val="32"/>
          <w:szCs w:val="32"/>
        </w:rPr>
        <w:t>项目建设。八是全力做好退役军人服务工作。</w:t>
      </w:r>
      <w:r>
        <w:rPr>
          <w:rFonts w:ascii="Times New Roman" w:hAnsi="Times New Roman" w:eastAsia="仿宋_GB2312" w:cs="Times New Roman"/>
          <w:sz w:val="32"/>
          <w:szCs w:val="32"/>
        </w:rPr>
        <w:t>拨付</w:t>
      </w:r>
      <w:r>
        <w:rPr>
          <w:rFonts w:ascii="Times New Roman" w:hAnsi="Times New Roman" w:eastAsia="仿宋_GB2312" w:cs="Times New Roman"/>
          <w:color w:val="000000"/>
          <w:sz w:val="32"/>
          <w:szCs w:val="32"/>
        </w:rPr>
        <w:t>资金</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29</w:t>
      </w:r>
      <w:r>
        <w:rPr>
          <w:rFonts w:ascii="Times New Roman" w:hAnsi="Times New Roman" w:eastAsia="仿宋_GB2312" w:cs="Times New Roman"/>
          <w:color w:val="000000"/>
          <w:sz w:val="32"/>
          <w:szCs w:val="32"/>
        </w:rPr>
        <w:t>亿元，按时发放义务兵优待金、优抚对象抚恤金和生活补助、退役军人安置补贴</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，支持开展双拥、退役军人培训活动，</w:t>
      </w:r>
      <w:r>
        <w:rPr>
          <w:rFonts w:hint="eastAsia" w:ascii="Times New Roman" w:hAnsi="Times New Roman" w:eastAsia="仿宋_GB2312" w:cs="Times New Roman"/>
          <w:color w:val="000000"/>
          <w:sz w:val="32"/>
          <w:szCs w:val="32"/>
        </w:rPr>
        <w:t>推进</w:t>
      </w:r>
      <w:r>
        <w:rPr>
          <w:rFonts w:ascii="Times New Roman" w:hAnsi="Times New Roman" w:eastAsia="仿宋_GB2312" w:cs="Times New Roman"/>
          <w:color w:val="000000"/>
          <w:sz w:val="32"/>
          <w:szCs w:val="32"/>
        </w:rPr>
        <w:t>大安革命烈士纪念馆</w:t>
      </w:r>
      <w:r>
        <w:rPr>
          <w:rFonts w:hint="eastAsia" w:ascii="Times New Roman" w:hAnsi="Times New Roman" w:eastAsia="仿宋_GB2312" w:cs="Times New Roman"/>
          <w:color w:val="000000"/>
          <w:sz w:val="32"/>
          <w:szCs w:val="32"/>
        </w:rPr>
        <w:t>和安广烈士陵园</w:t>
      </w:r>
      <w:r>
        <w:rPr>
          <w:rFonts w:ascii="Times New Roman" w:hAnsi="Times New Roman" w:eastAsia="仿宋_GB2312" w:cs="Times New Roman"/>
          <w:color w:val="000000"/>
          <w:sz w:val="32"/>
          <w:szCs w:val="32"/>
        </w:rPr>
        <w:t>建设。</w:t>
      </w:r>
      <w:r>
        <w:rPr>
          <w:rFonts w:hint="eastAsia" w:ascii="Times New Roman" w:hAnsi="Times New Roman" w:eastAsia="仿宋_GB2312" w:cs="Times New Roman"/>
          <w:sz w:val="32"/>
          <w:szCs w:val="32"/>
        </w:rPr>
        <w:t>八是</w:t>
      </w:r>
      <w:r>
        <w:rPr>
          <w:rFonts w:hint="eastAsia" w:ascii="Times New Roman" w:hAnsi="Times New Roman" w:eastAsia="仿宋_GB2312" w:cs="Times New Roman"/>
          <w:bCs/>
          <w:sz w:val="32"/>
          <w:szCs w:val="32"/>
        </w:rPr>
        <w:t>推进农业</w:t>
      </w:r>
      <w:r>
        <w:rPr>
          <w:rFonts w:ascii="Times New Roman" w:hAnsi="Times New Roman" w:eastAsia="仿宋_GB2312" w:cs="Times New Roman"/>
          <w:bCs/>
          <w:sz w:val="32"/>
          <w:szCs w:val="32"/>
        </w:rPr>
        <w:t>农</w:t>
      </w:r>
      <w:r>
        <w:rPr>
          <w:rFonts w:hint="eastAsia" w:ascii="Times New Roman" w:hAnsi="Times New Roman" w:eastAsia="仿宋_GB2312" w:cs="Times New Roman"/>
          <w:bCs/>
          <w:sz w:val="32"/>
          <w:szCs w:val="32"/>
        </w:rPr>
        <w:t>村现代化</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筹措拨付</w:t>
      </w:r>
      <w:r>
        <w:rPr>
          <w:rFonts w:ascii="Times New Roman" w:hAnsi="Times New Roman" w:eastAsia="仿宋_GB2312" w:cs="Times New Roman"/>
          <w:bCs/>
          <w:sz w:val="32"/>
          <w:szCs w:val="32"/>
        </w:rPr>
        <w:t>资金</w:t>
      </w:r>
      <w:r>
        <w:rPr>
          <w:rFonts w:hint="eastAsia" w:ascii="Times New Roman" w:hAnsi="Times New Roman" w:eastAsia="仿宋_GB2312" w:cs="Times New Roman"/>
          <w:bCs/>
          <w:color w:val="000000" w:themeColor="text1"/>
          <w:sz w:val="32"/>
          <w:szCs w:val="32"/>
          <w14:textFill>
            <w14:solidFill>
              <w14:schemeClr w14:val="tx1"/>
            </w14:solidFill>
          </w14:textFill>
        </w:rPr>
        <w:t>8.82</w:t>
      </w:r>
      <w:r>
        <w:rPr>
          <w:rFonts w:ascii="Times New Roman" w:hAnsi="Times New Roman" w:eastAsia="仿宋_GB2312" w:cs="Times New Roman"/>
          <w:bCs/>
          <w:sz w:val="32"/>
          <w:szCs w:val="32"/>
        </w:rPr>
        <w:t>亿元，</w:t>
      </w:r>
      <w:r>
        <w:rPr>
          <w:rFonts w:hint="eastAsia" w:ascii="Times New Roman" w:hAnsi="Times New Roman" w:eastAsia="仿宋_GB2312" w:cs="Times New Roman"/>
          <w:sz w:val="32"/>
          <w:szCs w:val="32"/>
        </w:rPr>
        <w:t>及时足额兑现各项惠农</w:t>
      </w:r>
      <w:r>
        <w:rPr>
          <w:rFonts w:ascii="Times New Roman" w:hAnsi="Times New Roman" w:eastAsia="仿宋_GB2312" w:cs="Times New Roman"/>
          <w:bCs/>
          <w:color w:val="000000"/>
          <w:sz w:val="32"/>
          <w:szCs w:val="32"/>
        </w:rPr>
        <w:t>补贴，</w:t>
      </w:r>
      <w:r>
        <w:rPr>
          <w:rFonts w:hint="eastAsia" w:ascii="Times New Roman" w:hAnsi="Times New Roman" w:eastAsia="仿宋_GB2312" w:cs="Times New Roman"/>
          <w:bCs/>
          <w:sz w:val="32"/>
          <w:szCs w:val="32"/>
        </w:rPr>
        <w:t>全力推动肉牛产业发展，支持</w:t>
      </w:r>
      <w:r>
        <w:rPr>
          <w:rFonts w:ascii="Times New Roman" w:hAnsi="Times New Roman" w:eastAsia="仿宋_GB2312" w:cs="Times New Roman"/>
          <w:bCs/>
          <w:sz w:val="32"/>
          <w:szCs w:val="32"/>
        </w:rPr>
        <w:t>土地开发整理和盐碱地综合整治</w:t>
      </w:r>
      <w:r>
        <w:rPr>
          <w:rFonts w:hint="eastAsia" w:ascii="Times New Roman" w:hAnsi="Times New Roman" w:eastAsia="仿宋_GB2312" w:cs="Times New Roman"/>
          <w:bCs/>
          <w:sz w:val="32"/>
          <w:szCs w:val="32"/>
        </w:rPr>
        <w:t>、高标准农田、保护性耕作等项目建设。</w:t>
      </w:r>
      <w:r>
        <w:rPr>
          <w:rFonts w:ascii="Times New Roman" w:hAnsi="Times New Roman" w:eastAsia="仿宋_GB2312" w:cs="Times New Roman"/>
          <w:sz w:val="32"/>
          <w:szCs w:val="32"/>
        </w:rPr>
        <w:t xml:space="preserve"> </w:t>
      </w:r>
    </w:p>
    <w:p>
      <w:pPr>
        <w:adjustRightInd w:val="0"/>
        <w:snapToGrid w:val="0"/>
        <w:spacing w:line="576" w:lineRule="exact"/>
        <w:ind w:firstLine="643" w:firstLineChars="200"/>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3.完善</w:t>
      </w:r>
      <w:r>
        <w:rPr>
          <w:rFonts w:ascii="Times New Roman" w:hAnsi="Times New Roman" w:eastAsia="仿宋_GB2312" w:cs="Times New Roman"/>
          <w:b/>
          <w:bCs/>
          <w:sz w:val="32"/>
          <w:szCs w:val="32"/>
        </w:rPr>
        <w:t>园区基础设施，</w:t>
      </w:r>
      <w:r>
        <w:rPr>
          <w:rFonts w:hint="eastAsia" w:ascii="Times New Roman" w:hAnsi="Times New Roman" w:eastAsia="仿宋_GB2312" w:cs="Times New Roman"/>
          <w:b/>
          <w:bCs/>
          <w:sz w:val="32"/>
          <w:szCs w:val="32"/>
        </w:rPr>
        <w:t>大力培育支柱型骨干企业</w:t>
      </w:r>
      <w:r>
        <w:rPr>
          <w:rFonts w:ascii="Times New Roman" w:hAnsi="Times New Roman" w:eastAsia="仿宋_GB2312" w:cs="Times New Roman"/>
          <w:b/>
          <w:bCs/>
          <w:sz w:val="32"/>
          <w:szCs w:val="32"/>
        </w:rPr>
        <w:t>。</w:t>
      </w:r>
      <w:r>
        <w:rPr>
          <w:rFonts w:ascii="Times New Roman" w:hAnsi="Times New Roman" w:eastAsia="仿宋_GB2312" w:cs="Times New Roman"/>
          <w:bCs/>
          <w:sz w:val="32"/>
          <w:szCs w:val="32"/>
        </w:rPr>
        <w:t>筹措拨付资金</w:t>
      </w:r>
      <w:r>
        <w:rPr>
          <w:rFonts w:hint="eastAsia" w:ascii="Times New Roman" w:hAnsi="Times New Roman" w:eastAsia="仿宋_GB2312" w:cs="Times New Roman"/>
          <w:bCs/>
          <w:color w:val="000000" w:themeColor="text1"/>
          <w:sz w:val="32"/>
          <w:szCs w:val="32"/>
          <w14:textFill>
            <w14:solidFill>
              <w14:schemeClr w14:val="tx1"/>
            </w14:solidFill>
          </w14:textFill>
        </w:rPr>
        <w:t>6.18</w:t>
      </w:r>
      <w:r>
        <w:rPr>
          <w:rFonts w:ascii="Times New Roman" w:hAnsi="Times New Roman" w:eastAsia="仿宋_GB2312" w:cs="Times New Roman"/>
          <w:bCs/>
          <w:color w:val="000000"/>
          <w:sz w:val="32"/>
          <w:szCs w:val="32"/>
        </w:rPr>
        <w:t>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，支持清洁能源装备制造园孵化器、四棵树乡产业园区孵化器项目，完善两家子化工产业园配套</w:t>
      </w:r>
      <w:r>
        <w:rPr>
          <w:rFonts w:ascii="Times New Roman" w:hAnsi="Times New Roman" w:eastAsia="仿宋_GB2312" w:cs="Times New Roman"/>
          <w:bCs/>
          <w:sz w:val="32"/>
          <w:szCs w:val="32"/>
        </w:rPr>
        <w:t>基础设施，支持</w:t>
      </w:r>
      <w:r>
        <w:rPr>
          <w:rFonts w:hint="eastAsia" w:ascii="Times New Roman" w:hAnsi="Times New Roman" w:eastAsia="仿宋_GB2312" w:cs="Times New Roman"/>
          <w:bCs/>
          <w:color w:val="000000" w:themeColor="text1"/>
          <w:sz w:val="32"/>
          <w:szCs w:val="32"/>
          <w14:textFill>
            <w14:solidFill>
              <w14:schemeClr w14:val="tx1"/>
            </w14:solidFill>
          </w14:textFill>
        </w:rPr>
        <w:t>成飞叶片、天能塔筒、飞沃锚栓</w:t>
      </w:r>
      <w:r>
        <w:rPr>
          <w:rFonts w:hint="eastAsia" w:ascii="Times New Roman" w:hAnsi="Times New Roman" w:eastAsia="仿宋_GB2312" w:cs="Times New Roman"/>
          <w:bCs/>
          <w:sz w:val="32"/>
          <w:szCs w:val="32"/>
        </w:rPr>
        <w:t>等骨干企业做大做强。</w:t>
      </w:r>
    </w:p>
    <w:p>
      <w:pPr>
        <w:adjustRightInd w:val="0"/>
        <w:snapToGrid w:val="0"/>
        <w:spacing w:line="576"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持续推进推进</w:t>
      </w:r>
      <w:r>
        <w:rPr>
          <w:rFonts w:ascii="Times New Roman" w:hAnsi="Times New Roman" w:eastAsia="仿宋_GB2312" w:cs="Times New Roman"/>
          <w:b/>
          <w:bCs/>
          <w:sz w:val="32"/>
          <w:szCs w:val="32"/>
        </w:rPr>
        <w:t>嫩江湾5A景区创</w:t>
      </w:r>
      <w:r>
        <w:rPr>
          <w:rFonts w:hint="eastAsia" w:ascii="Times New Roman" w:hAnsi="Times New Roman" w:eastAsia="仿宋_GB2312" w:cs="Times New Roman"/>
          <w:b/>
          <w:bCs/>
          <w:sz w:val="32"/>
          <w:szCs w:val="32"/>
        </w:rPr>
        <w:t>建</w:t>
      </w:r>
      <w:r>
        <w:rPr>
          <w:rFonts w:ascii="Times New Roman" w:hAnsi="Times New Roman" w:eastAsia="仿宋_GB2312" w:cs="Times New Roman"/>
          <w:b/>
          <w:bCs/>
          <w:sz w:val="32"/>
          <w:szCs w:val="32"/>
        </w:rPr>
        <w:t>，促进服务业发展。</w:t>
      </w:r>
      <w:r>
        <w:rPr>
          <w:rFonts w:ascii="Times New Roman" w:hAnsi="Times New Roman" w:eastAsia="仿宋_GB2312" w:cs="Times New Roman"/>
          <w:bCs/>
          <w:sz w:val="32"/>
          <w:szCs w:val="32"/>
        </w:rPr>
        <w:t>筹措拨付资金</w:t>
      </w:r>
      <w:r>
        <w:rPr>
          <w:rFonts w:hint="eastAsia" w:ascii="Times New Roman" w:hAnsi="Times New Roman" w:eastAsia="仿宋_GB2312" w:cs="Times New Roman"/>
          <w:bCs/>
          <w:color w:val="000000" w:themeColor="text1"/>
          <w:sz w:val="32"/>
          <w:szCs w:val="32"/>
          <w14:textFill>
            <w14:solidFill>
              <w14:schemeClr w14:val="tx1"/>
            </w14:solidFill>
          </w14:textFill>
        </w:rPr>
        <w:t>0.7</w:t>
      </w:r>
      <w:r>
        <w:rPr>
          <w:rFonts w:ascii="Times New Roman" w:hAnsi="Times New Roman" w:eastAsia="仿宋_GB2312" w:cs="Times New Roman"/>
          <w:bCs/>
          <w:color w:val="000000"/>
          <w:sz w:val="32"/>
          <w:szCs w:val="32"/>
        </w:rPr>
        <w:t>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，继续推进</w:t>
      </w:r>
      <w:r>
        <w:rPr>
          <w:rFonts w:ascii="Times New Roman" w:hAnsi="Times New Roman" w:eastAsia="仿宋_GB2312" w:cs="Times New Roman"/>
          <w:bCs/>
          <w:sz w:val="32"/>
          <w:szCs w:val="32"/>
        </w:rPr>
        <w:t>嫩江湾5A景区创</w:t>
      </w:r>
      <w:r>
        <w:rPr>
          <w:rFonts w:hint="eastAsia" w:ascii="Times New Roman" w:hAnsi="Times New Roman" w:eastAsia="仿宋_GB2312" w:cs="Times New Roman"/>
          <w:bCs/>
          <w:sz w:val="32"/>
          <w:szCs w:val="32"/>
        </w:rPr>
        <w:t>建，加强项目后期运营管护，支持</w:t>
      </w:r>
      <w:r>
        <w:rPr>
          <w:rFonts w:ascii="Times New Roman" w:hAnsi="Times New Roman" w:eastAsia="仿宋_GB2312" w:cs="Times New Roman"/>
          <w:bCs/>
          <w:sz w:val="32"/>
          <w:szCs w:val="32"/>
        </w:rPr>
        <w:t>普惠金融发展</w:t>
      </w:r>
      <w:r>
        <w:rPr>
          <w:rFonts w:hint="eastAsia" w:ascii="Times New Roman" w:hAnsi="Times New Roman" w:eastAsia="仿宋_GB2312" w:cs="Times New Roman"/>
          <w:bCs/>
          <w:sz w:val="32"/>
          <w:szCs w:val="32"/>
        </w:rPr>
        <w:t>和民贸民品生产</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稳妥开展</w:t>
      </w:r>
      <w:r>
        <w:rPr>
          <w:rFonts w:ascii="Times New Roman" w:hAnsi="Times New Roman" w:eastAsia="仿宋_GB2312" w:cs="Times New Roman"/>
          <w:bCs/>
          <w:sz w:val="32"/>
          <w:szCs w:val="32"/>
        </w:rPr>
        <w:t>消费</w:t>
      </w:r>
      <w:r>
        <w:rPr>
          <w:rFonts w:hint="eastAsia" w:ascii="Times New Roman" w:hAnsi="Times New Roman" w:eastAsia="仿宋_GB2312" w:cs="Times New Roman"/>
          <w:bCs/>
          <w:sz w:val="32"/>
          <w:szCs w:val="32"/>
        </w:rPr>
        <w:t>券</w:t>
      </w:r>
      <w:r>
        <w:rPr>
          <w:rFonts w:ascii="Times New Roman" w:hAnsi="Times New Roman" w:eastAsia="仿宋_GB2312" w:cs="Times New Roman"/>
          <w:bCs/>
          <w:sz w:val="32"/>
          <w:szCs w:val="32"/>
        </w:rPr>
        <w:t>促</w:t>
      </w:r>
      <w:r>
        <w:rPr>
          <w:rFonts w:hint="eastAsia" w:ascii="Times New Roman" w:hAnsi="Times New Roman" w:eastAsia="仿宋_GB2312" w:cs="Times New Roman"/>
          <w:bCs/>
          <w:sz w:val="32"/>
          <w:szCs w:val="32"/>
        </w:rPr>
        <w:t>销</w:t>
      </w:r>
      <w:r>
        <w:rPr>
          <w:rFonts w:ascii="Times New Roman" w:hAnsi="Times New Roman" w:eastAsia="仿宋_GB2312" w:cs="Times New Roman"/>
          <w:bCs/>
          <w:sz w:val="32"/>
          <w:szCs w:val="32"/>
        </w:rPr>
        <w:t>活动。</w:t>
      </w:r>
    </w:p>
    <w:p>
      <w:pPr>
        <w:adjustRightInd w:val="0"/>
        <w:snapToGrid w:val="0"/>
        <w:spacing w:line="576" w:lineRule="exact"/>
        <w:ind w:firstLine="643" w:firstLineChars="200"/>
        <w:rPr>
          <w:rFonts w:ascii="Times New Roman" w:hAnsi="Times New Roman" w:eastAsia="仿宋_GB2312" w:cs="Times New Roman"/>
          <w:bCs/>
          <w:sz w:val="32"/>
          <w:szCs w:val="32"/>
        </w:rPr>
      </w:pPr>
      <w:r>
        <w:rPr>
          <w:rFonts w:hint="eastAsia" w:ascii="Times New Roman" w:hAnsi="Times New Roman" w:eastAsia="仿宋_GB2312" w:cs="Times New Roman"/>
          <w:b/>
          <w:sz w:val="32"/>
          <w:szCs w:val="32"/>
        </w:rPr>
        <w:t>5.</w:t>
      </w:r>
      <w:r>
        <w:rPr>
          <w:rFonts w:ascii="Times New Roman" w:hAnsi="Times New Roman" w:eastAsia="仿宋_GB2312" w:cs="Times New Roman"/>
          <w:b/>
          <w:sz w:val="32"/>
          <w:szCs w:val="32"/>
        </w:rPr>
        <w:t>加大生态环保投入</w:t>
      </w:r>
      <w:r>
        <w:rPr>
          <w:rFonts w:hint="eastAsia" w:ascii="Times New Roman" w:hAnsi="Times New Roman" w:eastAsia="仿宋_GB2312" w:cs="Times New Roman"/>
          <w:b/>
          <w:bCs/>
          <w:sz w:val="32"/>
          <w:szCs w:val="32"/>
        </w:rPr>
        <w:t>，</w:t>
      </w:r>
      <w:r>
        <w:rPr>
          <w:rFonts w:ascii="Times New Roman" w:hAnsi="Times New Roman" w:eastAsia="仿宋_GB2312" w:cs="Times New Roman"/>
          <w:b/>
          <w:sz w:val="32"/>
          <w:szCs w:val="32"/>
        </w:rPr>
        <w:t>持续</w:t>
      </w:r>
      <w:r>
        <w:rPr>
          <w:rFonts w:ascii="Times New Roman" w:hAnsi="Times New Roman" w:eastAsia="仿宋_GB2312" w:cs="Times New Roman"/>
          <w:b/>
          <w:bCs/>
          <w:sz w:val="32"/>
          <w:szCs w:val="32"/>
        </w:rPr>
        <w:t>改善群众</w:t>
      </w:r>
      <w:r>
        <w:rPr>
          <w:rFonts w:hint="eastAsia" w:ascii="Times New Roman" w:hAnsi="Times New Roman" w:eastAsia="仿宋_GB2312" w:cs="Times New Roman"/>
          <w:b/>
          <w:bCs/>
          <w:sz w:val="32"/>
          <w:szCs w:val="32"/>
        </w:rPr>
        <w:t>生产</w:t>
      </w:r>
      <w:r>
        <w:rPr>
          <w:rFonts w:ascii="Times New Roman" w:hAnsi="Times New Roman" w:eastAsia="仿宋_GB2312" w:cs="Times New Roman"/>
          <w:b/>
          <w:bCs/>
          <w:sz w:val="32"/>
          <w:szCs w:val="32"/>
        </w:rPr>
        <w:t>生活</w:t>
      </w:r>
      <w:r>
        <w:rPr>
          <w:rFonts w:hint="eastAsia" w:ascii="Times New Roman" w:hAnsi="Times New Roman" w:eastAsia="仿宋_GB2312" w:cs="Times New Roman"/>
          <w:b/>
          <w:bCs/>
          <w:sz w:val="32"/>
          <w:szCs w:val="32"/>
        </w:rPr>
        <w:t>条件</w:t>
      </w:r>
      <w:r>
        <w:rPr>
          <w:rFonts w:ascii="Times New Roman" w:hAnsi="Times New Roman" w:eastAsia="仿宋_GB2312" w:cs="Times New Roman"/>
          <w:b/>
          <w:bCs/>
          <w:sz w:val="32"/>
          <w:szCs w:val="32"/>
        </w:rPr>
        <w:t>。</w:t>
      </w:r>
      <w:r>
        <w:rPr>
          <w:rFonts w:ascii="Times New Roman" w:hAnsi="Times New Roman" w:eastAsia="仿宋_GB2312" w:cs="Times New Roman"/>
          <w:bCs/>
          <w:sz w:val="32"/>
          <w:szCs w:val="32"/>
        </w:rPr>
        <w:t>筹措拨付资金</w:t>
      </w:r>
      <w:r>
        <w:rPr>
          <w:rFonts w:hint="eastAsia" w:ascii="Times New Roman" w:hAnsi="Times New Roman" w:eastAsia="仿宋_GB2312" w:cs="Times New Roman"/>
          <w:bCs/>
          <w:color w:val="000000" w:themeColor="text1"/>
          <w:sz w:val="32"/>
          <w:szCs w:val="32"/>
          <w14:textFill>
            <w14:solidFill>
              <w14:schemeClr w14:val="tx1"/>
            </w14:solidFill>
          </w14:textFill>
        </w:rPr>
        <w:t>7.72</w:t>
      </w:r>
      <w:r>
        <w:rPr>
          <w:rFonts w:ascii="Times New Roman" w:hAnsi="Times New Roman" w:eastAsia="仿宋_GB2312" w:cs="Times New Roman"/>
          <w:bCs/>
          <w:color w:val="000000"/>
          <w:sz w:val="32"/>
          <w:szCs w:val="32"/>
        </w:rPr>
        <w:t>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加大生态环保投入，持续改善人居环境。一是支持</w:t>
      </w:r>
      <w:r>
        <w:rPr>
          <w:rFonts w:hint="eastAsia" w:ascii="Times New Roman" w:hAnsi="Times New Roman" w:eastAsia="仿宋_GB2312" w:cs="Times New Roman"/>
          <w:bCs/>
          <w:sz w:val="32"/>
          <w:szCs w:val="32"/>
        </w:rPr>
        <w:t>改善</w:t>
      </w:r>
      <w:r>
        <w:rPr>
          <w:rFonts w:ascii="Times New Roman" w:hAnsi="Times New Roman" w:eastAsia="仿宋_GB2312" w:cs="Times New Roman"/>
          <w:bCs/>
          <w:sz w:val="32"/>
          <w:szCs w:val="32"/>
        </w:rPr>
        <w:t>生态</w:t>
      </w:r>
      <w:r>
        <w:rPr>
          <w:rFonts w:hint="eastAsia" w:ascii="Times New Roman" w:hAnsi="Times New Roman" w:eastAsia="仿宋_GB2312" w:cs="Times New Roman"/>
          <w:bCs/>
          <w:sz w:val="32"/>
          <w:szCs w:val="32"/>
        </w:rPr>
        <w:t>环境</w:t>
      </w:r>
      <w:r>
        <w:rPr>
          <w:rFonts w:ascii="Times New Roman" w:hAnsi="Times New Roman" w:eastAsia="仿宋_GB2312" w:cs="Times New Roman"/>
          <w:bCs/>
          <w:sz w:val="32"/>
          <w:szCs w:val="32"/>
        </w:rPr>
        <w:t>。拨付资金</w:t>
      </w:r>
      <w:r>
        <w:rPr>
          <w:rFonts w:ascii="Times New Roman" w:hAnsi="Times New Roman" w:eastAsia="仿宋_GB2312" w:cs="Times New Roman"/>
          <w:bCs/>
          <w:color w:val="000000" w:themeColor="text1"/>
          <w:sz w:val="32"/>
          <w:szCs w:val="32"/>
          <w14:textFill>
            <w14:solidFill>
              <w14:schemeClr w14:val="tx1"/>
            </w14:solidFill>
          </w14:textFill>
        </w:rPr>
        <w:t>1.</w:t>
      </w:r>
      <w:r>
        <w:rPr>
          <w:rFonts w:hint="eastAsia" w:ascii="Times New Roman" w:hAnsi="Times New Roman" w:eastAsia="仿宋_GB2312" w:cs="Times New Roman"/>
          <w:bCs/>
          <w:color w:val="000000" w:themeColor="text1"/>
          <w:sz w:val="32"/>
          <w:szCs w:val="32"/>
          <w14:textFill>
            <w14:solidFill>
              <w14:schemeClr w14:val="tx1"/>
            </w14:solidFill>
          </w14:textFill>
        </w:rPr>
        <w:t>03</w:t>
      </w:r>
      <w:r>
        <w:rPr>
          <w:rFonts w:ascii="Times New Roman" w:hAnsi="Times New Roman" w:eastAsia="仿宋_GB2312" w:cs="Times New Roman"/>
          <w:bCs/>
          <w:color w:val="000000"/>
          <w:sz w:val="32"/>
          <w:szCs w:val="32"/>
        </w:rPr>
        <w:t>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，落实污水、垃圾处理场运营补贴资金，完善</w:t>
      </w:r>
      <w:r>
        <w:rPr>
          <w:rFonts w:ascii="Times New Roman" w:hAnsi="Times New Roman" w:eastAsia="仿宋_GB2312" w:cs="Times New Roman"/>
          <w:bCs/>
          <w:sz w:val="32"/>
          <w:szCs w:val="32"/>
        </w:rPr>
        <w:t>城乡垃圾转运处理系统，</w:t>
      </w:r>
      <w:r>
        <w:rPr>
          <w:rFonts w:hint="eastAsia" w:ascii="Times New Roman" w:hAnsi="Times New Roman" w:eastAsia="仿宋_GB2312" w:cs="Times New Roman"/>
          <w:bCs/>
          <w:sz w:val="32"/>
          <w:szCs w:val="32"/>
        </w:rPr>
        <w:t>支持开展国、省道和村屯绿化</w:t>
      </w:r>
      <w:r>
        <w:rPr>
          <w:rFonts w:ascii="Times New Roman" w:hAnsi="Times New Roman" w:eastAsia="仿宋_GB2312" w:cs="Times New Roman"/>
          <w:bCs/>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二</w:t>
      </w:r>
      <w:r>
        <w:rPr>
          <w:rFonts w:ascii="Times New Roman" w:hAnsi="Times New Roman" w:eastAsia="仿宋_GB2312" w:cs="Times New Roman"/>
          <w:bCs/>
          <w:color w:val="000000" w:themeColor="text1"/>
          <w:sz w:val="32"/>
          <w:szCs w:val="32"/>
          <w14:textFill>
            <w14:solidFill>
              <w14:schemeClr w14:val="tx1"/>
            </w14:solidFill>
          </w14:textFill>
        </w:rPr>
        <w:t>是完善</w:t>
      </w:r>
      <w:r>
        <w:rPr>
          <w:rFonts w:hint="eastAsia" w:ascii="Times New Roman" w:hAnsi="Times New Roman" w:eastAsia="仿宋_GB2312" w:cs="Times New Roman"/>
          <w:bCs/>
          <w:color w:val="000000" w:themeColor="text1"/>
          <w:sz w:val="32"/>
          <w:szCs w:val="32"/>
          <w14:textFill>
            <w14:solidFill>
              <w14:schemeClr w14:val="tx1"/>
            </w14:solidFill>
          </w14:textFill>
        </w:rPr>
        <w:t>公益性</w:t>
      </w:r>
      <w:r>
        <w:rPr>
          <w:rFonts w:ascii="Times New Roman" w:hAnsi="Times New Roman" w:eastAsia="仿宋_GB2312" w:cs="Times New Roman"/>
          <w:bCs/>
          <w:color w:val="000000" w:themeColor="text1"/>
          <w:sz w:val="32"/>
          <w:szCs w:val="32"/>
          <w14:textFill>
            <w14:solidFill>
              <w14:schemeClr w14:val="tx1"/>
            </w14:solidFill>
          </w14:textFill>
        </w:rPr>
        <w:t>基础设施。</w:t>
      </w:r>
      <w:r>
        <w:rPr>
          <w:rFonts w:ascii="Times New Roman" w:hAnsi="Times New Roman" w:eastAsia="仿宋_GB2312" w:cs="Times New Roman"/>
          <w:bCs/>
          <w:sz w:val="32"/>
          <w:szCs w:val="32"/>
        </w:rPr>
        <w:t>拨付资金</w:t>
      </w:r>
      <w:r>
        <w:rPr>
          <w:rFonts w:hint="eastAsia" w:ascii="Times New Roman" w:hAnsi="Times New Roman" w:eastAsia="仿宋_GB2312" w:cs="Times New Roman"/>
          <w:bCs/>
          <w:color w:val="000000" w:themeColor="text1"/>
          <w:sz w:val="32"/>
          <w:szCs w:val="32"/>
          <w14:textFill>
            <w14:solidFill>
              <w14:schemeClr w14:val="tx1"/>
            </w14:solidFill>
          </w14:textFill>
        </w:rPr>
        <w:t>4.65</w:t>
      </w:r>
      <w:r>
        <w:rPr>
          <w:rFonts w:ascii="Times New Roman" w:hAnsi="Times New Roman" w:eastAsia="仿宋_GB2312" w:cs="Times New Roman"/>
          <w:bCs/>
          <w:color w:val="000000"/>
          <w:sz w:val="32"/>
          <w:szCs w:val="32"/>
        </w:rPr>
        <w:t>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，支持老城区提升改造，开展市区和安广供热管网改造，推进“四好”农村路建设</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三</w:t>
      </w:r>
      <w:r>
        <w:rPr>
          <w:rFonts w:ascii="Times New Roman" w:hAnsi="Times New Roman" w:eastAsia="仿宋_GB2312" w:cs="Times New Roman"/>
          <w:bCs/>
          <w:sz w:val="32"/>
          <w:szCs w:val="32"/>
        </w:rPr>
        <w:t>是支持改善居民生活条件。拨付资金</w:t>
      </w:r>
      <w:r>
        <w:rPr>
          <w:rFonts w:hint="eastAsia" w:ascii="Times New Roman" w:hAnsi="Times New Roman" w:eastAsia="仿宋_GB2312" w:cs="Times New Roman"/>
          <w:bCs/>
          <w:color w:val="000000" w:themeColor="text1"/>
          <w:sz w:val="32"/>
          <w:szCs w:val="32"/>
          <w14:textFill>
            <w14:solidFill>
              <w14:schemeClr w14:val="tx1"/>
            </w14:solidFill>
          </w14:textFill>
        </w:rPr>
        <w:t>2.04</w:t>
      </w:r>
      <w:r>
        <w:rPr>
          <w:rFonts w:ascii="Times New Roman" w:hAnsi="Times New Roman" w:eastAsia="仿宋_GB2312" w:cs="Times New Roman"/>
          <w:bCs/>
          <w:color w:val="000000"/>
          <w:sz w:val="32"/>
          <w:szCs w:val="32"/>
        </w:rPr>
        <w:t>亿</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rPr>
        <w:t>，</w:t>
      </w:r>
      <w:r>
        <w:rPr>
          <w:rFonts w:ascii="Times New Roman" w:hAnsi="Times New Roman" w:eastAsia="仿宋_GB2312" w:cs="Times New Roman"/>
          <w:sz w:val="32"/>
          <w:szCs w:val="32"/>
        </w:rPr>
        <w:t>推进城市棚户区改造、城镇老旧小区改造</w:t>
      </w:r>
      <w:r>
        <w:rPr>
          <w:rFonts w:hint="eastAsia" w:ascii="Times New Roman" w:hAnsi="Times New Roman" w:eastAsia="仿宋_GB2312" w:cs="Times New Roman"/>
          <w:sz w:val="32"/>
          <w:szCs w:val="32"/>
        </w:rPr>
        <w:t>，市区新建6座标准化公厕，</w:t>
      </w:r>
      <w:r>
        <w:rPr>
          <w:rFonts w:hint="eastAsia" w:ascii="Times New Roman" w:hAnsi="Times New Roman" w:eastAsia="仿宋_GB2312" w:cs="Times New Roman"/>
          <w:bCs/>
          <w:sz w:val="32"/>
          <w:szCs w:val="32"/>
        </w:rPr>
        <w:t>支持新平安镇实施全域土地综合整治配套工程项目</w:t>
      </w:r>
      <w:r>
        <w:rPr>
          <w:rFonts w:ascii="Times New Roman" w:hAnsi="Times New Roman" w:eastAsia="仿宋_GB2312" w:cs="Times New Roman"/>
          <w:bCs/>
          <w:sz w:val="32"/>
          <w:szCs w:val="32"/>
        </w:rPr>
        <w:t>。</w:t>
      </w:r>
    </w:p>
    <w:p>
      <w:pPr>
        <w:adjustRightInd w:val="0"/>
        <w:snapToGrid w:val="0"/>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（五）全面深化财政改革，坚持依法科学理财</w:t>
      </w:r>
    </w:p>
    <w:p>
      <w:pPr>
        <w:adjustRightInd w:val="0"/>
        <w:snapToGrid w:val="0"/>
        <w:spacing w:line="576" w:lineRule="exact"/>
        <w:ind w:firstLine="640" w:firstLineChars="200"/>
        <w:rPr>
          <w:rFonts w:ascii="仿宋_GB2312" w:hAnsi="仿宋" w:eastAsia="仿宋_GB2312" w:cs="楷体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年，我们继续深化预算管理制度改革。一是</w:t>
      </w:r>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推进预算绩效管理。</w:t>
      </w:r>
      <w:r>
        <w:rPr>
          <w:rFonts w:hint="eastAsia" w:ascii="Times New Roman" w:hAnsi="Times New Roman" w:eastAsia="仿宋_GB2312" w:cs="Times New Roman"/>
          <w:sz w:val="32"/>
          <w:szCs w:val="32"/>
        </w:rPr>
        <w:t>对部门预算整体支出实行预算绩效管理</w:t>
      </w:r>
      <w:r>
        <w:rPr>
          <w:rFonts w:hint="eastAsia" w:ascii="仿宋_GB2312" w:hAnsi="仿宋" w:eastAsia="仿宋_GB2312" w:cs="楷体_GB2312"/>
          <w:sz w:val="32"/>
          <w:szCs w:val="32"/>
        </w:rPr>
        <w:t>。</w:t>
      </w:r>
      <w:r>
        <w:rPr>
          <w:rFonts w:hint="eastAsia" w:ascii="仿宋_GB2312" w:hAnsi="宋体" w:eastAsia="仿宋_GB2312" w:cs="Times New Roman"/>
          <w:sz w:val="32"/>
          <w:szCs w:val="32"/>
        </w:rPr>
        <w:t>二是深化预算公开，2022年开始所有基层预算单位全部实现了预算公开。</w:t>
      </w:r>
      <w:r>
        <w:rPr>
          <w:rFonts w:hint="eastAsia" w:ascii="仿宋_GB2312" w:hAnsi="仿宋" w:eastAsia="仿宋_GB2312" w:cs="楷体_GB2312"/>
          <w:sz w:val="32"/>
          <w:szCs w:val="32"/>
        </w:rPr>
        <w:t>三是序时推进预算管理一体化改革，依托预算管理一体化系统,强化了对财政资金的实时监管,建立了财政存量资金定期清理盘活机制。</w:t>
      </w:r>
    </w:p>
    <w:p>
      <w:pPr>
        <w:pStyle w:val="16"/>
      </w:pPr>
    </w:p>
    <w:p>
      <w:pPr>
        <w:spacing w:line="576" w:lineRule="exact"/>
        <w:jc w:val="center"/>
        <w:rPr>
          <w:rFonts w:ascii="黑体" w:hAnsi="黑体" w:eastAsia="黑体" w:cs="Times New Roman"/>
          <w:sz w:val="36"/>
          <w:szCs w:val="36"/>
        </w:rPr>
      </w:pPr>
      <w:r>
        <w:rPr>
          <w:rFonts w:hint="eastAsia" w:ascii="黑体" w:hAnsi="黑体" w:eastAsia="黑体" w:cs="Times New Roman"/>
          <w:sz w:val="36"/>
          <w:szCs w:val="36"/>
        </w:rPr>
        <w:t>2023年预算草案</w:t>
      </w:r>
    </w:p>
    <w:p>
      <w:pPr>
        <w:adjustRightInd w:val="0"/>
        <w:snapToGrid w:val="0"/>
        <w:spacing w:line="576" w:lineRule="exact"/>
        <w:ind w:firstLine="640"/>
        <w:rPr>
          <w:rFonts w:ascii="Times New Roman" w:hAnsi="Times New Roman" w:eastAsia="仿宋_GB2312" w:cs="Times New Roman"/>
          <w:b/>
          <w:bCs/>
          <w:sz w:val="32"/>
          <w:szCs w:val="32"/>
        </w:rPr>
      </w:pPr>
    </w:p>
    <w:p>
      <w:pPr>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3</w:t>
      </w:r>
      <w:r>
        <w:rPr>
          <w:rFonts w:ascii="Times New Roman" w:hAnsi="Times New Roman" w:eastAsia="黑体" w:cs="Times New Roman"/>
          <w:sz w:val="32"/>
          <w:szCs w:val="32"/>
        </w:rPr>
        <w:t>年预算编制的指导思想及原则</w:t>
      </w:r>
    </w:p>
    <w:p>
      <w:pPr>
        <w:spacing w:line="576"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（一）指导思想。</w:t>
      </w:r>
      <w:r>
        <w:rPr>
          <w:rFonts w:ascii="Times New Roman" w:hAnsi="Times New Roman" w:eastAsia="仿宋_GB2312" w:cs="Times New Roman"/>
          <w:sz w:val="32"/>
          <w:szCs w:val="32"/>
        </w:rPr>
        <w:t>全面贯彻落实党的</w:t>
      </w:r>
      <w:r>
        <w:rPr>
          <w:rFonts w:hint="eastAsia" w:ascii="Times New Roman" w:hAnsi="Times New Roman" w:eastAsia="仿宋_GB2312" w:cs="Times New Roman"/>
          <w:sz w:val="32"/>
          <w:szCs w:val="32"/>
        </w:rPr>
        <w:t>二十</w:t>
      </w:r>
      <w:r>
        <w:rPr>
          <w:rFonts w:ascii="Times New Roman" w:hAnsi="Times New Roman" w:eastAsia="仿宋_GB2312" w:cs="Times New Roman"/>
          <w:sz w:val="32"/>
          <w:szCs w:val="32"/>
        </w:rPr>
        <w:t>大</w:t>
      </w:r>
      <w:r>
        <w:rPr>
          <w:rFonts w:hint="eastAsia" w:ascii="Times New Roman" w:hAnsi="Times New Roman" w:eastAsia="仿宋_GB2312" w:cs="Times New Roman"/>
          <w:sz w:val="32"/>
          <w:szCs w:val="32"/>
        </w:rPr>
        <w:t>、二十</w:t>
      </w:r>
      <w:r>
        <w:rPr>
          <w:rFonts w:ascii="Times New Roman" w:hAnsi="Times New Roman" w:eastAsia="仿宋_GB2312" w:cs="Times New Roman"/>
          <w:sz w:val="32"/>
          <w:szCs w:val="32"/>
        </w:rPr>
        <w:t>届</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中全会和市委党代会精神，按照市委、市政府的决策部署，</w:t>
      </w:r>
      <w:r>
        <w:rPr>
          <w:rFonts w:hint="eastAsia" w:ascii="Times New Roman" w:hAnsi="Times New Roman" w:eastAsia="仿宋_GB2312" w:cs="Times New Roman"/>
          <w:sz w:val="32"/>
          <w:szCs w:val="32"/>
        </w:rPr>
        <w:t>充分</w:t>
      </w:r>
      <w:r>
        <w:rPr>
          <w:rFonts w:ascii="Times New Roman" w:hAnsi="Times New Roman" w:eastAsia="仿宋_GB2312" w:cs="Times New Roman"/>
          <w:sz w:val="32"/>
          <w:szCs w:val="32"/>
        </w:rPr>
        <w:t>发挥财政职能作用，</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生态经济创新发展示范区</w:t>
      </w:r>
      <w:r>
        <w:rPr>
          <w:rFonts w:hint="eastAsia" w:ascii="Times New Roman" w:hAnsi="Times New Roman" w:eastAsia="仿宋_GB2312" w:cs="Times New Roman"/>
          <w:sz w:val="32"/>
          <w:szCs w:val="32"/>
        </w:rPr>
        <w:t>创建；牢固树立过紧日子思想，不断</w:t>
      </w:r>
      <w:r>
        <w:rPr>
          <w:rFonts w:ascii="Times New Roman" w:hAnsi="Times New Roman" w:eastAsia="仿宋_GB2312" w:cs="Times New Roman"/>
          <w:sz w:val="32"/>
          <w:szCs w:val="32"/>
        </w:rPr>
        <w:t>优化财政支出结构，全力保障“三保”支出</w:t>
      </w:r>
      <w:r>
        <w:rPr>
          <w:rFonts w:hint="eastAsia" w:ascii="Times New Roman" w:hAnsi="Times New Roman" w:eastAsia="仿宋_GB2312" w:cs="Times New Roman"/>
          <w:sz w:val="32"/>
          <w:szCs w:val="32"/>
        </w:rPr>
        <w:t>；持续深化</w:t>
      </w:r>
      <w:r>
        <w:rPr>
          <w:rFonts w:ascii="Times New Roman" w:hAnsi="Times New Roman" w:eastAsia="仿宋_GB2312" w:cs="Times New Roman"/>
          <w:sz w:val="32"/>
          <w:szCs w:val="32"/>
        </w:rPr>
        <w:t>预算管理制度改革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防范和化解政府债务风险。</w:t>
      </w:r>
    </w:p>
    <w:p>
      <w:pPr>
        <w:spacing w:line="576"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（二）基本原则。</w:t>
      </w:r>
      <w:r>
        <w:rPr>
          <w:rFonts w:ascii="Times New Roman" w:hAnsi="Times New Roman" w:eastAsia="仿宋_GB2312" w:cs="Times New Roman"/>
          <w:sz w:val="32"/>
          <w:szCs w:val="32"/>
        </w:rPr>
        <w:t>按照《中华人民共和国预算法》要求，202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年预算编制坚持以下原则：收入预算编制做到实事求是、积极稳妥。支出预算编制做到</w:t>
      </w:r>
      <w:r>
        <w:rPr>
          <w:rFonts w:hint="eastAsia" w:ascii="Times New Roman" w:hAnsi="Times New Roman" w:eastAsia="仿宋_GB2312" w:cs="Times New Roman"/>
          <w:sz w:val="32"/>
          <w:szCs w:val="32"/>
        </w:rPr>
        <w:t>以收定支、</w:t>
      </w:r>
      <w:r>
        <w:rPr>
          <w:rFonts w:ascii="Times New Roman" w:hAnsi="Times New Roman" w:eastAsia="仿宋_GB2312" w:cs="Times New Roman"/>
          <w:sz w:val="32"/>
          <w:szCs w:val="32"/>
        </w:rPr>
        <w:t>量力而行、突出重点</w:t>
      </w:r>
      <w:r>
        <w:rPr>
          <w:rFonts w:hint="eastAsia" w:ascii="Times New Roman" w:hAnsi="Times New Roman" w:eastAsia="仿宋_GB2312" w:cs="Times New Roman"/>
          <w:sz w:val="32"/>
          <w:szCs w:val="32"/>
        </w:rPr>
        <w:t>、有保有压，坚决兜牢财政“三保”支出底线。</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3</w:t>
      </w:r>
      <w:r>
        <w:rPr>
          <w:rFonts w:ascii="Times New Roman" w:hAnsi="Times New Roman" w:eastAsia="黑体" w:cs="Times New Roman"/>
          <w:sz w:val="32"/>
          <w:szCs w:val="32"/>
        </w:rPr>
        <w:t>年预算安排情况</w:t>
      </w:r>
    </w:p>
    <w:p>
      <w:pPr>
        <w:spacing w:line="576"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（一）一般公共预算安排情况</w:t>
      </w: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年，全市一般公共预算地方级财政收入</w:t>
      </w:r>
      <w:r>
        <w:rPr>
          <w:rFonts w:hint="eastAsia" w:ascii="Times New Roman" w:hAnsi="Times New Roman" w:eastAsia="仿宋_GB2312" w:cs="Times New Roman"/>
          <w:sz w:val="32"/>
          <w:szCs w:val="32"/>
        </w:rPr>
        <w:t>预期目标62,300万元，同比增长</w:t>
      </w: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地方级财政收入加上级补助收入</w:t>
      </w:r>
      <w:r>
        <w:rPr>
          <w:rFonts w:hint="eastAsia" w:ascii="Times New Roman" w:hAnsi="Times New Roman" w:eastAsia="仿宋_GB2312" w:cs="Times New Roman"/>
          <w:sz w:val="32"/>
          <w:szCs w:val="32"/>
        </w:rPr>
        <w:t>401,600万元</w:t>
      </w:r>
      <w:r>
        <w:rPr>
          <w:rFonts w:ascii="Times New Roman" w:hAnsi="Times New Roman" w:eastAsia="仿宋_GB2312" w:cs="Times New Roman"/>
          <w:sz w:val="32"/>
          <w:szCs w:val="32"/>
        </w:rPr>
        <w:t>、调入资金</w:t>
      </w:r>
      <w:r>
        <w:rPr>
          <w:rFonts w:hint="eastAsia" w:ascii="Times New Roman" w:hAnsi="Times New Roman" w:eastAsia="仿宋_GB2312" w:cs="Times New Roman"/>
          <w:sz w:val="32"/>
          <w:szCs w:val="32"/>
        </w:rPr>
        <w:t>8,000万元</w:t>
      </w:r>
      <w:r>
        <w:rPr>
          <w:rFonts w:ascii="Times New Roman" w:hAnsi="Times New Roman" w:eastAsia="仿宋_GB2312" w:cs="Times New Roman"/>
          <w:sz w:val="32"/>
          <w:szCs w:val="32"/>
        </w:rPr>
        <w:t>、上年结余</w:t>
      </w:r>
      <w:r>
        <w:rPr>
          <w:rFonts w:hint="eastAsia" w:ascii="Times New Roman" w:hAnsi="Times New Roman" w:eastAsia="仿宋_GB2312" w:cs="Times New Roman"/>
          <w:sz w:val="32"/>
          <w:szCs w:val="32"/>
        </w:rPr>
        <w:t>12,507万元</w:t>
      </w:r>
      <w:r>
        <w:rPr>
          <w:rFonts w:ascii="Times New Roman" w:hAnsi="Times New Roman" w:eastAsia="仿宋_GB2312" w:cs="Times New Roman"/>
          <w:sz w:val="32"/>
          <w:szCs w:val="32"/>
        </w:rPr>
        <w:t>，财政收入总计</w:t>
      </w:r>
      <w:r>
        <w:rPr>
          <w:rFonts w:hint="eastAsia" w:ascii="Times New Roman" w:hAnsi="Times New Roman" w:eastAsia="仿宋_GB2312" w:cs="Times New Roman"/>
          <w:sz w:val="32"/>
          <w:szCs w:val="32"/>
        </w:rPr>
        <w:t>488</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万元。</w:t>
      </w:r>
    </w:p>
    <w:p>
      <w:pPr>
        <w:spacing w:line="576"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按收支平衡的原则，一般公共预算财政支出安排4</w:t>
      </w:r>
      <w:r>
        <w:rPr>
          <w:rFonts w:hint="eastAsia" w:ascii="Times New Roman" w:hAnsi="Times New Roman" w:eastAsia="仿宋_GB2312" w:cs="Times New Roman"/>
          <w:color w:val="000000"/>
          <w:sz w:val="32"/>
          <w:szCs w:val="32"/>
        </w:rPr>
        <w:t>68</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00万元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加上解上级支出9</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00万元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债务还本支出</w:t>
      </w:r>
      <w:r>
        <w:rPr>
          <w:rFonts w:ascii="Times New Roman" w:hAnsi="Times New Roman" w:eastAsia="仿宋_GB2312" w:cs="Times New Roman"/>
          <w:color w:val="000000" w:themeColor="text1"/>
          <w:sz w:val="32"/>
          <w:szCs w:val="32"/>
          <w14:textFill>
            <w14:solidFill>
              <w14:schemeClr w14:val="tx1"/>
            </w14:solidFill>
          </w14:textFill>
        </w:rPr>
        <w:t>1</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00</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rPr>
        <w:t>本级安排数，</w:t>
      </w:r>
      <w:r>
        <w:rPr>
          <w:rFonts w:ascii="Times New Roman" w:hAnsi="Times New Roman" w:eastAsia="仿宋_GB2312" w:cs="Times New Roman"/>
          <w:color w:val="000000"/>
          <w:sz w:val="32"/>
          <w:szCs w:val="32"/>
        </w:rPr>
        <w:t>其余还本资金申请再融资债券安排），结转下年支出</w:t>
      </w:r>
      <w:r>
        <w:rPr>
          <w:rFonts w:hint="eastAsia" w:ascii="Times New Roman" w:hAnsi="Times New Roman" w:eastAsia="仿宋_GB2312" w:cs="Times New Roman"/>
          <w:color w:val="000000"/>
          <w:sz w:val="32"/>
          <w:szCs w:val="32"/>
        </w:rPr>
        <w:t>10</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0</w:t>
      </w:r>
      <w:r>
        <w:rPr>
          <w:rFonts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万元，财政支出总计</w:t>
      </w:r>
      <w:r>
        <w:rPr>
          <w:rFonts w:hint="eastAsia" w:ascii="Times New Roman" w:hAnsi="Times New Roman" w:eastAsia="仿宋_GB2312" w:cs="Times New Roman"/>
          <w:sz w:val="32"/>
          <w:szCs w:val="32"/>
        </w:rPr>
        <w:t>488</w:t>
      </w:r>
      <w:r>
        <w:rPr>
          <w:rFonts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7</w:t>
      </w:r>
      <w:r>
        <w:rPr>
          <w:rFonts w:ascii="Times New Roman" w:hAnsi="Times New Roman" w:eastAsia="仿宋_GB2312" w:cs="Times New Roman"/>
          <w:color w:val="000000"/>
          <w:sz w:val="32"/>
          <w:szCs w:val="32"/>
        </w:rPr>
        <w:t>万元。</w:t>
      </w:r>
    </w:p>
    <w:p>
      <w:pPr>
        <w:spacing w:line="576"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bCs/>
          <w:sz w:val="32"/>
          <w:szCs w:val="32"/>
        </w:rPr>
        <w:t>（二）政府性基金预算安排情况</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政府性基金预算收入预计完成</w:t>
      </w:r>
      <w:r>
        <w:rPr>
          <w:rFonts w:hint="eastAsia" w:ascii="Times New Roman" w:hAnsi="Times New Roman" w:eastAsia="仿宋_GB2312" w:cs="Times New Roman"/>
          <w:color w:val="000000" w:themeColor="text1"/>
          <w:sz w:val="32"/>
          <w:szCs w:val="32"/>
          <w14:textFill>
            <w14:solidFill>
              <w14:schemeClr w14:val="tx1"/>
            </w14:solidFill>
          </w14:textFill>
        </w:rPr>
        <w:t>13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50</w:t>
      </w:r>
      <w:r>
        <w:rPr>
          <w:rFonts w:ascii="Times New Roman" w:hAnsi="Times New Roman" w:eastAsia="仿宋_GB2312" w:cs="Times New Roman"/>
          <w:color w:val="000000" w:themeColor="text1"/>
          <w:sz w:val="32"/>
          <w:szCs w:val="32"/>
          <w14:textFill>
            <w14:solidFill>
              <w14:schemeClr w14:val="tx1"/>
            </w14:solidFill>
          </w14:textFill>
        </w:rPr>
        <w:t>0万元，其中国有土地使用权出让收入</w:t>
      </w:r>
      <w:r>
        <w:rPr>
          <w:rFonts w:hint="eastAsia" w:ascii="Times New Roman" w:hAnsi="Times New Roman" w:eastAsia="仿宋_GB2312" w:cs="Times New Roman"/>
          <w:color w:val="000000" w:themeColor="text1"/>
          <w:sz w:val="32"/>
          <w:szCs w:val="32"/>
          <w14:textFill>
            <w14:solidFill>
              <w14:schemeClr w14:val="tx1"/>
            </w14:solidFill>
          </w14:textFill>
        </w:rPr>
        <w:t>13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020</w:t>
      </w:r>
      <w:r>
        <w:rPr>
          <w:rFonts w:ascii="Times New Roman" w:hAnsi="Times New Roman" w:eastAsia="仿宋_GB2312" w:cs="Times New Roman"/>
          <w:color w:val="000000" w:themeColor="text1"/>
          <w:sz w:val="32"/>
          <w:szCs w:val="32"/>
          <w14:textFill>
            <w14:solidFill>
              <w14:schemeClr w14:val="tx1"/>
            </w14:solidFill>
          </w14:textFill>
        </w:rPr>
        <w:t>万元。政府性基金预算收入加上年结余</w:t>
      </w:r>
      <w:r>
        <w:rPr>
          <w:rFonts w:hint="eastAsia" w:ascii="Times New Roman" w:hAnsi="Times New Roman" w:eastAsia="仿宋_GB2312" w:cs="Times New Roman"/>
          <w:color w:val="000000" w:themeColor="text1"/>
          <w:sz w:val="32"/>
          <w:szCs w:val="32"/>
          <w14:textFill>
            <w14:solidFill>
              <w14:schemeClr w14:val="tx1"/>
            </w14:solidFill>
          </w14:textFill>
        </w:rPr>
        <w:t>18,544万元、</w:t>
      </w:r>
      <w:r>
        <w:rPr>
          <w:rFonts w:ascii="Times New Roman" w:hAnsi="Times New Roman" w:eastAsia="仿宋_GB2312" w:cs="Times New Roman"/>
          <w:color w:val="000000" w:themeColor="text1"/>
          <w:sz w:val="32"/>
          <w:szCs w:val="32"/>
          <w14:textFill>
            <w14:solidFill>
              <w14:schemeClr w14:val="tx1"/>
            </w14:solidFill>
          </w14:textFill>
        </w:rPr>
        <w:t>上级补助收入</w:t>
      </w:r>
      <w:r>
        <w:rPr>
          <w:rFonts w:hint="eastAsia" w:ascii="Times New Roman" w:hAnsi="Times New Roman" w:eastAsia="仿宋_GB2312" w:cs="Times New Roman"/>
          <w:color w:val="000000" w:themeColor="text1"/>
          <w:sz w:val="32"/>
          <w:szCs w:val="32"/>
          <w14:textFill>
            <w14:solidFill>
              <w14:schemeClr w14:val="tx1"/>
            </w14:solidFill>
          </w14:textFill>
        </w:rPr>
        <w:t>4,300万元，</w:t>
      </w:r>
      <w:r>
        <w:rPr>
          <w:rFonts w:ascii="Times New Roman" w:hAnsi="Times New Roman" w:eastAsia="仿宋_GB2312" w:cs="Times New Roman"/>
          <w:color w:val="000000" w:themeColor="text1"/>
          <w:sz w:val="32"/>
          <w:szCs w:val="32"/>
          <w14:textFill>
            <w14:solidFill>
              <w14:schemeClr w14:val="tx1"/>
            </w14:solidFill>
          </w14:textFill>
        </w:rPr>
        <w:t>政府性基金预算收入总计</w:t>
      </w:r>
      <w:r>
        <w:rPr>
          <w:rFonts w:hint="eastAsia" w:ascii="Times New Roman" w:hAnsi="Times New Roman" w:eastAsia="仿宋_GB2312" w:cs="Times New Roman"/>
          <w:color w:val="000000" w:themeColor="text1"/>
          <w:sz w:val="32"/>
          <w:szCs w:val="32"/>
          <w14:textFill>
            <w14:solidFill>
              <w14:schemeClr w14:val="tx1"/>
            </w14:solidFill>
          </w14:textFill>
        </w:rPr>
        <w:t>36</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344</w:t>
      </w:r>
      <w:r>
        <w:rPr>
          <w:rFonts w:ascii="Times New Roman" w:hAnsi="Times New Roman" w:eastAsia="仿宋_GB2312" w:cs="Times New Roman"/>
          <w:color w:val="000000" w:themeColor="text1"/>
          <w:sz w:val="32"/>
          <w:szCs w:val="32"/>
          <w14:textFill>
            <w14:solidFill>
              <w14:schemeClr w14:val="tx1"/>
            </w14:solidFill>
          </w14:textFill>
        </w:rPr>
        <w:t>万元。按以收定支原则，政府性基金预算支出安排</w:t>
      </w:r>
      <w:r>
        <w:rPr>
          <w:rFonts w:hint="eastAsia" w:ascii="Times New Roman" w:hAnsi="Times New Roman" w:eastAsia="仿宋_GB2312" w:cs="Times New Roman"/>
          <w:color w:val="000000" w:themeColor="text1"/>
          <w:sz w:val="32"/>
          <w:szCs w:val="32"/>
          <w14:textFill>
            <w14:solidFill>
              <w14:schemeClr w14:val="tx1"/>
            </w14:solidFill>
          </w14:textFill>
        </w:rPr>
        <w:t>25</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00万元，加债务还本支出</w:t>
      </w: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00万元，调出资金</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000万元，结转下年</w:t>
      </w:r>
      <w:r>
        <w:rPr>
          <w:rFonts w:hint="eastAsia" w:ascii="Times New Roman" w:hAnsi="Times New Roman" w:eastAsia="仿宋_GB2312" w:cs="Times New Roman"/>
          <w:color w:val="000000" w:themeColor="text1"/>
          <w:sz w:val="32"/>
          <w:szCs w:val="32"/>
          <w14:textFill>
            <w14:solidFill>
              <w14:schemeClr w14:val="tx1"/>
            </w14:solidFill>
          </w14:textFill>
        </w:rPr>
        <w:t>2,044</w:t>
      </w:r>
      <w:r>
        <w:rPr>
          <w:rFonts w:ascii="Times New Roman" w:hAnsi="Times New Roman" w:eastAsia="仿宋_GB2312" w:cs="Times New Roman"/>
          <w:color w:val="000000" w:themeColor="text1"/>
          <w:sz w:val="32"/>
          <w:szCs w:val="32"/>
          <w14:textFill>
            <w14:solidFill>
              <w14:schemeClr w14:val="tx1"/>
            </w14:solidFill>
          </w14:textFill>
        </w:rPr>
        <w:t>万元，政府性基金</w:t>
      </w:r>
      <w:r>
        <w:rPr>
          <w:rFonts w:hint="eastAsia" w:ascii="Times New Roman" w:hAnsi="Times New Roman" w:eastAsia="仿宋_GB2312" w:cs="Times New Roman"/>
          <w:color w:val="000000" w:themeColor="text1"/>
          <w:sz w:val="32"/>
          <w:szCs w:val="32"/>
          <w14:textFill>
            <w14:solidFill>
              <w14:schemeClr w14:val="tx1"/>
            </w14:solidFill>
          </w14:textFill>
        </w:rPr>
        <w:t>支出</w:t>
      </w:r>
      <w:r>
        <w:rPr>
          <w:rFonts w:ascii="Times New Roman" w:hAnsi="Times New Roman" w:eastAsia="仿宋_GB2312" w:cs="Times New Roman"/>
          <w:color w:val="000000" w:themeColor="text1"/>
          <w:sz w:val="32"/>
          <w:szCs w:val="32"/>
          <w14:textFill>
            <w14:solidFill>
              <w14:schemeClr w14:val="tx1"/>
            </w14:solidFill>
          </w14:textFill>
        </w:rPr>
        <w:t>总计</w:t>
      </w:r>
      <w:r>
        <w:rPr>
          <w:rFonts w:hint="eastAsia" w:ascii="Times New Roman" w:hAnsi="Times New Roman" w:eastAsia="仿宋_GB2312" w:cs="Times New Roman"/>
          <w:color w:val="000000" w:themeColor="text1"/>
          <w:sz w:val="32"/>
          <w:szCs w:val="32"/>
          <w14:textFill>
            <w14:solidFill>
              <w14:schemeClr w14:val="tx1"/>
            </w14:solidFill>
          </w14:textFill>
        </w:rPr>
        <w:t>36,344</w:t>
      </w:r>
      <w:r>
        <w:rPr>
          <w:rFonts w:ascii="Times New Roman" w:hAnsi="Times New Roman" w:eastAsia="仿宋_GB2312" w:cs="Times New Roman"/>
          <w:sz w:val="32"/>
          <w:szCs w:val="32"/>
        </w:rPr>
        <w:t>万元。</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（三）社会保险基金预算安排情况</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社会保险基金预算</w:t>
      </w:r>
      <w:r>
        <w:rPr>
          <w:rFonts w:hint="eastAsia" w:ascii="Times New Roman" w:hAnsi="Times New Roman" w:eastAsia="仿宋_GB2312" w:cs="Times New Roman"/>
          <w:sz w:val="32"/>
          <w:szCs w:val="32"/>
        </w:rPr>
        <w:t>由市社保局、市医保局编制，汇总上</w:t>
      </w:r>
      <w:r>
        <w:rPr>
          <w:rFonts w:ascii="Times New Roman" w:hAnsi="Times New Roman" w:eastAsia="仿宋_GB2312" w:cs="Times New Roman"/>
          <w:sz w:val="32"/>
          <w:szCs w:val="32"/>
        </w:rPr>
        <w:t>报省</w:t>
      </w:r>
      <w:r>
        <w:rPr>
          <w:rFonts w:hint="eastAsia" w:ascii="Times New Roman" w:hAnsi="Times New Roman" w:eastAsia="仿宋_GB2312" w:cs="Times New Roman"/>
          <w:sz w:val="32"/>
          <w:szCs w:val="32"/>
        </w:rPr>
        <w:t>相关厅局</w:t>
      </w:r>
      <w:r>
        <w:rPr>
          <w:rFonts w:ascii="Times New Roman" w:hAnsi="Times New Roman" w:eastAsia="仿宋_GB2312" w:cs="Times New Roman"/>
          <w:sz w:val="32"/>
          <w:szCs w:val="32"/>
        </w:rPr>
        <w:t>和财政厅批复</w:t>
      </w:r>
      <w:r>
        <w:rPr>
          <w:rFonts w:hint="eastAsia" w:ascii="Times New Roman" w:hAnsi="Times New Roman" w:eastAsia="仿宋_GB2312" w:cs="Times New Roman"/>
          <w:sz w:val="32"/>
          <w:szCs w:val="32"/>
        </w:rPr>
        <w:t>后执行</w:t>
      </w:r>
      <w:r>
        <w:rPr>
          <w:rFonts w:ascii="Times New Roman" w:hAnsi="Times New Roman" w:eastAsia="仿宋_GB2312" w:cs="Times New Roman"/>
          <w:sz w:val="32"/>
          <w:szCs w:val="32"/>
        </w:rPr>
        <w:t>。</w:t>
      </w:r>
    </w:p>
    <w:p>
      <w:pPr>
        <w:spacing w:line="576"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、202</w:t>
      </w:r>
      <w:r>
        <w:rPr>
          <w:rFonts w:hint="eastAsia" w:ascii="Times New Roman" w:hAnsi="Times New Roman" w:eastAsia="黑体" w:cs="Times New Roman"/>
          <w:bCs/>
          <w:sz w:val="32"/>
          <w:szCs w:val="32"/>
        </w:rPr>
        <w:t>3</w:t>
      </w:r>
      <w:r>
        <w:rPr>
          <w:rFonts w:ascii="Times New Roman" w:hAnsi="Times New Roman" w:eastAsia="黑体" w:cs="Times New Roman"/>
          <w:bCs/>
          <w:sz w:val="32"/>
          <w:szCs w:val="32"/>
        </w:rPr>
        <w:t>年主要工作安排</w:t>
      </w:r>
    </w:p>
    <w:p>
      <w:pPr>
        <w:pStyle w:val="16"/>
        <w:ind w:firstLine="640"/>
        <w:rPr>
          <w:rFonts w:ascii="楷体_GB2312" w:eastAsia="楷体_GB2312"/>
          <w:sz w:val="32"/>
          <w:szCs w:val="32"/>
        </w:rPr>
      </w:pPr>
      <w:r>
        <w:rPr>
          <w:rFonts w:hint="eastAsia" w:ascii="楷体_GB2312" w:eastAsia="楷体_GB2312"/>
          <w:sz w:val="32"/>
          <w:szCs w:val="32"/>
        </w:rPr>
        <w:t>(一)加强预算编制、执行管理，继续优化财政支出结构</w:t>
      </w:r>
    </w:p>
    <w:p>
      <w:pPr>
        <w:adjustRightInd w:val="0"/>
        <w:snapToGrid w:val="0"/>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2023年，我们将加强预算编制、执行管理，继续优化支出结构，压减一般性支出，</w:t>
      </w:r>
      <w:r>
        <w:rPr>
          <w:rFonts w:hint="eastAsia" w:ascii="仿宋_GB2312" w:hAnsi="Calibri" w:eastAsia="仿宋_GB2312" w:cs="Times New Roman"/>
          <w:sz w:val="32"/>
          <w:szCs w:val="32"/>
        </w:rPr>
        <w:t>集</w:t>
      </w:r>
      <w:r>
        <w:rPr>
          <w:rFonts w:hint="eastAsia" w:ascii="仿宋_GB2312" w:hAnsi="宋体" w:eastAsia="仿宋_GB2312" w:cs="Times New Roman"/>
          <w:sz w:val="32"/>
          <w:szCs w:val="32"/>
        </w:rPr>
        <w:t>中财力保障“三保”支出，支持生态经济创新发展示范区创建。</w:t>
      </w:r>
    </w:p>
    <w:p>
      <w:pPr>
        <w:adjustRightInd w:val="0"/>
        <w:snapToGrid w:val="0"/>
        <w:spacing w:line="576"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1.压实“三保”支出责任。</w:t>
      </w:r>
      <w:r>
        <w:rPr>
          <w:rFonts w:hint="eastAsia" w:ascii="仿宋_GB2312" w:hAnsi="宋体" w:eastAsia="仿宋_GB2312" w:cs="Times New Roman"/>
          <w:sz w:val="32"/>
          <w:szCs w:val="32"/>
        </w:rPr>
        <w:t>坚决守住不发生“三保”支出风险底线，在预算编制环节，严格按照国家、省确定的保障标准测算全年“三保”支出规模，经省财政厅审核备案后足额纳入年度财政预算，报市人大批准后执行。在预算执行环节，优先调度资金保障“三保”支出需求，在“三保”支出未保障前，不安排其他支出。</w:t>
      </w:r>
    </w:p>
    <w:p>
      <w:pPr>
        <w:pStyle w:val="16"/>
        <w:adjustRightInd w:val="0"/>
        <w:snapToGrid w:val="0"/>
        <w:spacing w:line="576" w:lineRule="exact"/>
        <w:ind w:firstLine="643"/>
        <w:rPr>
          <w:rFonts w:ascii="仿宋_GB2312" w:eastAsia="仿宋_GB2312"/>
          <w:sz w:val="32"/>
          <w:szCs w:val="32"/>
        </w:rPr>
      </w:pPr>
      <w:r>
        <w:rPr>
          <w:rFonts w:hint="eastAsia" w:ascii="仿宋_GB2312" w:eastAsia="仿宋_GB2312"/>
          <w:b/>
          <w:sz w:val="32"/>
          <w:szCs w:val="32"/>
        </w:rPr>
        <w:t>2.严格控制一般性支出。</w:t>
      </w:r>
      <w:r>
        <w:rPr>
          <w:rFonts w:hint="eastAsia" w:ascii="仿宋_GB2312" w:eastAsia="仿宋_GB2312"/>
          <w:sz w:val="32"/>
          <w:szCs w:val="32"/>
        </w:rPr>
        <w:t>按照突出重点、有保有压的原则，继续大力压减一般性支出，清理归并零散或与上级专项重复安排的本级项目支出，对目前正在执行的项目资金严格审核，对已超出政策执行期限项目予以取消，对其他项目按比例压减预算额度。</w:t>
      </w:r>
    </w:p>
    <w:p>
      <w:pPr>
        <w:adjustRightInd w:val="0"/>
        <w:snapToGrid w:val="0"/>
        <w:spacing w:line="576"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3.支持生态经济创新发展示范区创建工作</w:t>
      </w:r>
      <w:r>
        <w:rPr>
          <w:rFonts w:hint="eastAsia" w:ascii="仿宋_GB2312" w:hAnsi="Calibri" w:eastAsia="仿宋_GB2312" w:cs="Times New Roman"/>
          <w:sz w:val="32"/>
          <w:szCs w:val="32"/>
        </w:rPr>
        <w:t>。按照市委、政府决策部署，</w:t>
      </w:r>
      <w:r>
        <w:rPr>
          <w:rFonts w:hint="eastAsia" w:ascii="仿宋_GB2312" w:hAnsi="宋体" w:eastAsia="仿宋_GB2312" w:cs="Times New Roman"/>
          <w:sz w:val="32"/>
          <w:szCs w:val="32"/>
        </w:rPr>
        <w:t>抓住省支持我市生态经济创新发展示范区建设政策机遇，</w:t>
      </w:r>
      <w:r>
        <w:rPr>
          <w:rFonts w:hint="eastAsia" w:ascii="仿宋_GB2312" w:hAnsi="Calibri" w:eastAsia="仿宋_GB2312" w:cs="Times New Roman"/>
          <w:sz w:val="32"/>
          <w:szCs w:val="32"/>
        </w:rPr>
        <w:t>积极向上争取资金，支持示范区创建。一是</w:t>
      </w:r>
      <w:r>
        <w:rPr>
          <w:rFonts w:hint="eastAsia" w:ascii="仿宋_GB2312" w:hAnsi="宋体" w:eastAsia="仿宋_GB2312"/>
          <w:sz w:val="32"/>
          <w:szCs w:val="32"/>
        </w:rPr>
        <w:t>争取</w:t>
      </w:r>
      <w:r>
        <w:rPr>
          <w:rFonts w:hint="eastAsia" w:ascii="仿宋_GB2312" w:hAnsi="Calibri" w:eastAsia="仿宋_GB2312" w:cs="Times New Roman"/>
          <w:sz w:val="32"/>
          <w:szCs w:val="32"/>
        </w:rPr>
        <w:t>转移支付资金</w:t>
      </w:r>
      <w:r>
        <w:rPr>
          <w:rFonts w:hint="eastAsia" w:ascii="仿宋_GB2312" w:hAnsi="宋体" w:eastAsia="仿宋_GB2312"/>
          <w:sz w:val="32"/>
          <w:szCs w:val="32"/>
        </w:rPr>
        <w:t>。随时关注了解国家、省政策变化，加强与省直部门</w:t>
      </w:r>
      <w:r>
        <w:rPr>
          <w:rFonts w:hint="eastAsia" w:ascii="仿宋_GB2312" w:hAnsi="宋体" w:eastAsia="仿宋_GB2312" w:cs="Times New Roman"/>
          <w:sz w:val="32"/>
          <w:szCs w:val="32"/>
        </w:rPr>
        <w:t>联系，及时掌握资金下达我省情况，</w:t>
      </w:r>
      <w:r>
        <w:rPr>
          <w:rFonts w:hint="eastAsia" w:ascii="仿宋_GB2312" w:hAnsi="宋体" w:eastAsia="仿宋_GB2312"/>
          <w:sz w:val="32"/>
          <w:szCs w:val="32"/>
        </w:rPr>
        <w:t>积极</w:t>
      </w:r>
      <w:r>
        <w:rPr>
          <w:rFonts w:hint="eastAsia" w:ascii="仿宋_GB2312" w:hAnsi="宋体" w:eastAsia="仿宋_GB2312" w:cs="Times New Roman"/>
          <w:sz w:val="32"/>
          <w:szCs w:val="32"/>
        </w:rPr>
        <w:t>谋划包装项目，向上申请资金，支持我市生态治理、新能源产业、生态绿色农业、</w:t>
      </w:r>
      <w:r>
        <w:rPr>
          <w:rFonts w:hint="eastAsia" w:ascii="仿宋_GB2312" w:hAnsi="Calibri" w:eastAsia="仿宋_GB2312" w:cs="Times New Roman"/>
          <w:sz w:val="32"/>
          <w:szCs w:val="32"/>
        </w:rPr>
        <w:t>推动农村基础设施提档升级，持续改善农村人居环境</w:t>
      </w:r>
      <w:r>
        <w:rPr>
          <w:rFonts w:hint="eastAsia" w:ascii="仿宋_GB2312" w:hAnsi="宋体" w:eastAsia="仿宋_GB2312" w:cs="Times New Roman"/>
          <w:sz w:val="32"/>
          <w:szCs w:val="32"/>
        </w:rPr>
        <w:t>。二是积极争取债券资金。</w:t>
      </w:r>
      <w:r>
        <w:rPr>
          <w:rFonts w:hint="eastAsia" w:ascii="仿宋_GB2312" w:hAnsi="宋体" w:eastAsia="仿宋_GB2312"/>
          <w:sz w:val="32"/>
          <w:szCs w:val="32"/>
        </w:rPr>
        <w:t>财政、</w:t>
      </w:r>
      <w:r>
        <w:rPr>
          <w:rFonts w:hint="eastAsia" w:ascii="仿宋_GB2312" w:hAnsi="宋体" w:eastAsia="仿宋_GB2312" w:cs="Times New Roman"/>
          <w:sz w:val="32"/>
          <w:szCs w:val="32"/>
        </w:rPr>
        <w:t>发改等相关</w:t>
      </w:r>
      <w:r>
        <w:rPr>
          <w:rFonts w:hint="eastAsia" w:ascii="仿宋_GB2312" w:hAnsi="宋体" w:eastAsia="仿宋_GB2312"/>
          <w:sz w:val="32"/>
          <w:szCs w:val="32"/>
        </w:rPr>
        <w:t>部门将超前谋划，指导相关部门</w:t>
      </w:r>
      <w:r>
        <w:rPr>
          <w:rFonts w:hint="eastAsia" w:ascii="仿宋_GB2312" w:hAnsi="宋体" w:eastAsia="仿宋_GB2312" w:cs="Times New Roman"/>
          <w:sz w:val="32"/>
          <w:szCs w:val="32"/>
        </w:rPr>
        <w:t>完善项目手续，确保更多成熟项目入库，加强与省财政厅、发改委联系，争取更大新增债务限额，支持我市</w:t>
      </w:r>
      <w:r>
        <w:rPr>
          <w:rFonts w:hint="eastAsia" w:ascii="仿宋_GB2312" w:hAnsi="Calibri" w:eastAsia="仿宋_GB2312" w:cs="Times New Roman"/>
          <w:sz w:val="32"/>
          <w:szCs w:val="32"/>
        </w:rPr>
        <w:t>老旧城区更新改造，推进智慧城市、旅游城市等项目建设。</w:t>
      </w:r>
    </w:p>
    <w:p>
      <w:pPr>
        <w:adjustRightInd w:val="0"/>
        <w:snapToGrid w:val="0"/>
        <w:spacing w:line="576"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（二）完善产业园区基础设施，</w:t>
      </w:r>
      <w:r>
        <w:rPr>
          <w:rFonts w:hint="eastAsia" w:ascii="楷体_GB2312" w:hAnsi="黑体" w:eastAsia="楷体_GB2312" w:cs="Times New Roman"/>
          <w:color w:val="000000" w:themeColor="text1"/>
          <w:sz w:val="32"/>
          <w:szCs w:val="32"/>
          <w14:textFill>
            <w14:solidFill>
              <w14:schemeClr w14:val="tx1"/>
            </w14:solidFill>
          </w14:textFill>
        </w:rPr>
        <w:t>大力培育后续财源</w:t>
      </w:r>
    </w:p>
    <w:p>
      <w:pPr>
        <w:adjustRightInd w:val="0"/>
        <w:snapToGrid w:val="0"/>
        <w:spacing w:line="576"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sz w:val="32"/>
          <w:szCs w:val="32"/>
        </w:rPr>
        <w:t>认真研读国家、省相关政策，积极向上争取补助资金和债券资金，</w:t>
      </w:r>
      <w:r>
        <w:rPr>
          <w:rFonts w:hint="eastAsia" w:ascii="仿宋_GB2312" w:hAnsi="宋体" w:eastAsia="仿宋_GB2312" w:cs="Times New Roman"/>
          <w:sz w:val="32"/>
          <w:szCs w:val="32"/>
        </w:rPr>
        <w:t>完善</w:t>
      </w:r>
      <w:r>
        <w:rPr>
          <w:rFonts w:hint="eastAsia" w:ascii="仿宋_GB2312" w:hAnsi="仿宋" w:eastAsia="仿宋_GB2312" w:cs="Times New Roman"/>
          <w:sz w:val="32"/>
          <w:szCs w:val="32"/>
        </w:rPr>
        <w:t>产业</w:t>
      </w:r>
      <w:r>
        <w:rPr>
          <w:rFonts w:hint="eastAsia" w:ascii="仿宋_GB2312" w:hAnsi="仿宋" w:eastAsia="仿宋_GB2312"/>
          <w:sz w:val="32"/>
          <w:szCs w:val="32"/>
        </w:rPr>
        <w:t>融合发展</w:t>
      </w:r>
      <w:r>
        <w:rPr>
          <w:rFonts w:hint="eastAsia" w:ascii="仿宋_GB2312" w:hAnsi="仿宋" w:eastAsia="仿宋_GB2312" w:cs="Times New Roman"/>
          <w:sz w:val="32"/>
          <w:szCs w:val="32"/>
        </w:rPr>
        <w:t>孵化园</w:t>
      </w:r>
      <w:r>
        <w:rPr>
          <w:rFonts w:hint="eastAsia" w:ascii="仿宋_GB2312" w:hAnsi="仿宋" w:eastAsia="仿宋_GB2312"/>
          <w:sz w:val="32"/>
          <w:szCs w:val="32"/>
        </w:rPr>
        <w:t>、两家子清洁能源化工园</w:t>
      </w:r>
      <w:r>
        <w:rPr>
          <w:rFonts w:hint="eastAsia" w:ascii="仿宋_GB2312" w:hAnsi="仿宋" w:eastAsia="仿宋_GB2312" w:cs="Times New Roman"/>
          <w:sz w:val="32"/>
          <w:szCs w:val="32"/>
        </w:rPr>
        <w:t>等园区基础设施建设</w:t>
      </w:r>
      <w:r>
        <w:rPr>
          <w:rFonts w:hint="eastAsia" w:ascii="仿宋_GB2312" w:hAnsi="宋体" w:eastAsia="仿宋_GB2312" w:cs="Times New Roman"/>
          <w:bCs/>
          <w:sz w:val="32"/>
          <w:szCs w:val="32"/>
        </w:rPr>
        <w:t>，</w:t>
      </w:r>
      <w:r>
        <w:rPr>
          <w:rFonts w:hint="eastAsia" w:ascii="仿宋_GB2312" w:hAnsi="仿宋_GB2312" w:eastAsia="仿宋_GB2312" w:cs="仿宋_GB2312"/>
          <w:sz w:val="32"/>
          <w:szCs w:val="32"/>
        </w:rPr>
        <w:t>全面增强各类园区承载能力。</w:t>
      </w:r>
      <w:r>
        <w:rPr>
          <w:rFonts w:hint="eastAsia" w:ascii="仿宋_GB2312" w:hAnsi="宋体" w:eastAsia="仿宋_GB2312" w:cs="Times New Roman"/>
          <w:bCs/>
          <w:sz w:val="32"/>
          <w:szCs w:val="32"/>
        </w:rPr>
        <w:t>重点支持两家子化工园区特勤消防站、两家子</w:t>
      </w:r>
      <w:r>
        <w:rPr>
          <w:rFonts w:hint="eastAsia" w:ascii="仿宋_GB2312" w:hAnsi="宋体" w:eastAsia="仿宋_GB2312" w:cs="Times New Roman"/>
          <w:bCs/>
          <w:color w:val="000000" w:themeColor="text1"/>
          <w:sz w:val="32"/>
          <w:szCs w:val="32"/>
          <w14:textFill>
            <w14:solidFill>
              <w14:schemeClr w14:val="tx1"/>
            </w14:solidFill>
          </w14:textFill>
        </w:rPr>
        <w:t>卫生院和医疗救护站建设。</w:t>
      </w:r>
    </w:p>
    <w:p>
      <w:pPr>
        <w:adjustRightInd w:val="0"/>
        <w:snapToGrid w:val="0"/>
        <w:spacing w:line="576" w:lineRule="exact"/>
        <w:ind w:firstLine="640" w:firstLineChars="200"/>
        <w:rPr>
          <w:rFonts w:ascii="楷体_GB2312" w:hAnsi="宋体" w:eastAsia="楷体_GB2312" w:cs="Times New Roman"/>
          <w:sz w:val="32"/>
          <w:szCs w:val="32"/>
        </w:rPr>
      </w:pPr>
      <w:r>
        <w:rPr>
          <w:rFonts w:hint="eastAsia" w:ascii="楷体_GB2312" w:hAnsi="黑体" w:eastAsia="楷体_GB2312" w:cs="Times New Roman"/>
          <w:sz w:val="32"/>
          <w:szCs w:val="32"/>
        </w:rPr>
        <w:t>（三）深化预算</w:t>
      </w:r>
      <w:r>
        <w:rPr>
          <w:rFonts w:hint="eastAsia" w:ascii="楷体_GB2312" w:hAnsi="黑体" w:eastAsia="楷体_GB2312"/>
          <w:sz w:val="32"/>
          <w:szCs w:val="32"/>
        </w:rPr>
        <w:t>管理</w:t>
      </w:r>
      <w:r>
        <w:rPr>
          <w:rFonts w:hint="eastAsia" w:ascii="楷体_GB2312" w:hAnsi="黑体" w:eastAsia="楷体_GB2312" w:cs="Times New Roman"/>
          <w:sz w:val="32"/>
          <w:szCs w:val="32"/>
        </w:rPr>
        <w:t>制度改革，提升财政管理水平</w:t>
      </w:r>
    </w:p>
    <w:p>
      <w:pPr>
        <w:adjustRightInd w:val="0"/>
        <w:snapToGrid w:val="0"/>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2023年，我们将持续深化预算管理制度改革，不断提升财政管理水平。一是加强预算编制管理。健全完善项目支出标准体系，将预算安排与资产管理相衔接，严格控制代编预算项目和数额。二是继续推进预算绩效管理。</w:t>
      </w:r>
      <w:r>
        <w:rPr>
          <w:rFonts w:hint="eastAsia" w:ascii="仿宋_GB2312" w:hAnsi="仿宋" w:eastAsia="仿宋_GB2312" w:cs="Times New Roman"/>
          <w:sz w:val="32"/>
          <w:szCs w:val="32"/>
        </w:rPr>
        <w:t>组织开展预算绩效评价，督促各单位完成评价反馈问题整改，加强绩效评价结果应用，切实强化预算支出责任，提高资金使用效益。三是加强地方政府债务管理。严格执行政府年度化债计划，化解存量债务，督促各单位强化预算执行刚性约束，坚决遏制新增政府隐性债务。</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各位代表，202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年我市财政工作任务艰巨，我们要在市委、市政府的正确领导下，在市人大、市政协的监督支持下，在各部门各方面的支持与帮助下，</w:t>
      </w:r>
      <w:r>
        <w:rPr>
          <w:rFonts w:hint="eastAsia" w:ascii="Times New Roman" w:hAnsi="Times New Roman" w:eastAsia="仿宋_GB2312" w:cs="Times New Roman"/>
          <w:sz w:val="32"/>
          <w:szCs w:val="32"/>
        </w:rPr>
        <w:t>攻坚克难</w:t>
      </w:r>
      <w:r>
        <w:rPr>
          <w:rFonts w:ascii="Times New Roman" w:hAnsi="Times New Roman" w:eastAsia="仿宋_GB2312" w:cs="Times New Roman"/>
          <w:sz w:val="32"/>
          <w:szCs w:val="32"/>
        </w:rPr>
        <w:t>，狠抓落实，</w:t>
      </w:r>
      <w:r>
        <w:rPr>
          <w:rFonts w:hint="eastAsia" w:ascii="Times New Roman" w:hAnsi="Times New Roman" w:eastAsia="仿宋_GB2312" w:cs="Times New Roman"/>
          <w:sz w:val="32"/>
          <w:szCs w:val="32"/>
        </w:rPr>
        <w:t>全力支持生态经济创新发展示范区建设</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我市实现高质量跨越式发展提供坚实财力保障</w:t>
      </w:r>
      <w:r>
        <w:rPr>
          <w:rFonts w:ascii="Times New Roman" w:hAnsi="Times New Roman" w:eastAsia="仿宋_GB2312" w:cs="Times New Roman"/>
          <w:sz w:val="32"/>
          <w:szCs w:val="32"/>
        </w:rPr>
        <w:t>。</w:t>
      </w:r>
    </w:p>
    <w:p>
      <w:pPr>
        <w:spacing w:line="576" w:lineRule="exact"/>
        <w:jc w:val="center"/>
        <w:rPr>
          <w:rFonts w:ascii="方正大标宋简体" w:hAnsi="Times New Roman" w:eastAsia="方正大标宋简体" w:cs="Times New Roman"/>
          <w:b/>
          <w:sz w:val="44"/>
          <w:szCs w:val="44"/>
        </w:rPr>
      </w:pPr>
    </w:p>
    <w:p>
      <w:pPr>
        <w:spacing w:line="560" w:lineRule="exact"/>
        <w:rPr>
          <w:rFonts w:ascii="方正大标宋简体" w:eastAsia="方正大标宋简体"/>
          <w:b/>
          <w:sz w:val="40"/>
          <w:szCs w:val="32"/>
        </w:rPr>
      </w:pPr>
      <w:r>
        <w:rPr>
          <w:rFonts w:ascii="方正大标宋简体" w:eastAsia="方正大标宋简体"/>
          <w:b/>
          <w:sz w:val="40"/>
          <w:szCs w:val="32"/>
        </w:rPr>
        <w:t xml:space="preserve">                </w:t>
      </w:r>
      <w:r>
        <w:rPr>
          <w:rFonts w:hint="eastAsia" w:ascii="方正大标宋简体" w:eastAsia="方正大标宋简体"/>
          <w:b/>
          <w:sz w:val="40"/>
          <w:szCs w:val="32"/>
        </w:rPr>
        <w:t>名 词 注 释</w:t>
      </w:r>
    </w:p>
    <w:p>
      <w:pPr>
        <w:spacing w:line="560" w:lineRule="exact"/>
        <w:ind w:firstLine="640" w:firstLineChars="200"/>
        <w:rPr>
          <w:rFonts w:ascii="楷体_GB2312" w:eastAsia="楷体_GB2312"/>
          <w:sz w:val="32"/>
          <w:szCs w:val="32"/>
        </w:rPr>
      </w:pPr>
    </w:p>
    <w:p>
      <w:pPr>
        <w:spacing w:line="560" w:lineRule="exact"/>
        <w:ind w:firstLine="640" w:firstLineChars="200"/>
        <w:rPr>
          <w:rFonts w:ascii="楷体_GB2312" w:eastAsia="楷体_GB2312"/>
          <w:sz w:val="32"/>
          <w:szCs w:val="32"/>
        </w:rPr>
      </w:pPr>
      <w:r>
        <w:rPr>
          <w:rFonts w:hint="eastAsia" w:ascii="楷体_GB2312" w:eastAsia="楷体_GB2312"/>
          <w:sz w:val="32"/>
          <w:szCs w:val="32"/>
        </w:rPr>
        <w:t>① 一般公共预算：是对以税收为主体的财政收入，安排用于保障和改善民生、推动经济社会发展、维护国家安全、维持国家机构正常运转等方面的收支预算。</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②地方级财政收入：包括上解中央和省级财政之后剩余的税收收入、非税收入和政府性基金预算收入。</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③</w:t>
      </w:r>
      <w:r>
        <w:rPr>
          <w:rFonts w:hint="eastAsia" w:ascii="楷体_GB2312" w:eastAsia="楷体_GB2312"/>
          <w:sz w:val="32"/>
          <w:szCs w:val="32"/>
        </w:rPr>
        <w:t>债务转贷收入：</w:t>
      </w:r>
      <w:r>
        <w:rPr>
          <w:rFonts w:hint="eastAsia" w:ascii="楷体_GB2312" w:hAnsi="Arial" w:eastAsia="楷体_GB2312" w:cs="Arial"/>
          <w:color w:val="333333"/>
          <w:sz w:val="32"/>
          <w:szCs w:val="32"/>
          <w:shd w:val="clear" w:color="auto" w:fill="FFFFFF"/>
        </w:rPr>
        <w:t>债务转贷实际上指的是国债以放贷的形式发展公共项目。为了扩大有效内需，促进国民经济持续稳定发展，国务院决定1998年增发一定数量国债，由财政部转贷给省级政府，用于地方的经济和社会发展项目。</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④政府性基金预算：对依照法律、行政法规的规定，在一定期限内向特定对象征收、收取或者其他方式筹集的资金，专项用于特定公共事业发展的收支预算。</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⑤政府性基金收入：是国家通过向社会征收以及出让土地、发行彩票等方式取得收入。并专项用于支持特定基础设施建设和社会事业发展的收入。</w:t>
      </w:r>
    </w:p>
    <w:p>
      <w:pPr>
        <w:spacing w:line="560" w:lineRule="exact"/>
        <w:ind w:firstLine="640" w:firstLineChars="200"/>
        <w:rPr>
          <w:rFonts w:ascii="楷体_GB2312" w:hAnsi="Arial" w:eastAsia="楷体_GB2312" w:cs="Arial"/>
          <w:color w:val="333333"/>
          <w:sz w:val="48"/>
          <w:szCs w:val="32"/>
          <w:shd w:val="clear" w:color="auto" w:fill="FFFFFF"/>
        </w:rPr>
      </w:pPr>
      <w:r>
        <w:rPr>
          <w:rFonts w:hint="eastAsia" w:ascii="楷体_GB2312" w:hAnsi="Arial" w:eastAsia="楷体_GB2312" w:cs="Arial"/>
          <w:color w:val="333333"/>
          <w:sz w:val="32"/>
          <w:szCs w:val="32"/>
          <w:shd w:val="clear" w:color="auto" w:fill="FFFFFF"/>
        </w:rPr>
        <w:t>⑥社会保险基金：</w:t>
      </w:r>
      <w:r>
        <w:rPr>
          <w:rFonts w:hint="eastAsia" w:ascii="楷体_GB2312" w:hAnsi="Arial" w:eastAsia="楷体_GB2312" w:cs="Arial"/>
          <w:color w:val="333333"/>
          <w:sz w:val="32"/>
          <w:szCs w:val="21"/>
          <w:shd w:val="clear" w:color="auto" w:fill="FFFFFF"/>
        </w:rPr>
        <w:t>是指为了使社会保险有可靠的资金保障，国家通过立法要求全社会统一建立的，用于支付社会保险待遇的专项资金。用此种资金购置的资产及其增值部分也属于社会保险基金的范围。</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⑦非税收入：非税收入是指除税收以外，取得的财政性资金，是政府财政收入的重要组成部分。主要包括：专项收入、行政性收费收入、罚没收入、国有资本经营收益、国有资源（资产）有偿使用收入和其他收入等。</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Arial" w:eastAsia="楷体_GB2312" w:cs="Arial"/>
          <w:color w:val="333333"/>
          <w:sz w:val="32"/>
          <w:szCs w:val="32"/>
          <w:shd w:val="clear" w:color="auto" w:fill="FFFFFF"/>
        </w:rPr>
        <w:t>⑧专项转移支付：专项转移支付是指上级政府为实现特定政策目标补助给下级政府的专项支出，下级政府应当按照上级政府规定的用途使用资金，也就是通常意义上的“专款”。</w:t>
      </w:r>
    </w:p>
    <w:p>
      <w:pPr>
        <w:spacing w:line="560" w:lineRule="exact"/>
        <w:ind w:firstLine="640" w:firstLineChars="200"/>
        <w:rPr>
          <w:rFonts w:ascii="楷体_GB2312" w:hAnsi="Arial" w:eastAsia="楷体_GB2312" w:cs="Arial"/>
          <w:color w:val="333333"/>
          <w:sz w:val="32"/>
          <w:szCs w:val="32"/>
          <w:shd w:val="clear" w:color="auto" w:fill="FFFFFF"/>
        </w:rPr>
      </w:pPr>
      <w:r>
        <w:rPr>
          <w:rFonts w:hint="eastAsia" w:ascii="楷体_GB2312" w:hAnsi="仿宋_GB2312" w:eastAsia="楷体_GB2312" w:cs="仿宋_GB2312"/>
          <w:sz w:val="32"/>
          <w:szCs w:val="32"/>
        </w:rPr>
        <w:t>⑨</w:t>
      </w:r>
      <w:r>
        <w:rPr>
          <w:rFonts w:hint="eastAsia" w:ascii="楷体_GB2312" w:hAnsi="Arial" w:eastAsia="楷体_GB2312" w:cs="Arial"/>
          <w:color w:val="333333"/>
          <w:sz w:val="32"/>
          <w:szCs w:val="32"/>
          <w:shd w:val="clear" w:color="auto" w:fill="FFFFFF"/>
        </w:rPr>
        <w:t>一般性转移支付：是指中央政府对有财力缺口的地方政府，按照规范的办法给予的补助。包括均衡性转移支付、民族地区转移支付、农村税费改革转移支付、调整工资转移支付等，地方政府可以按照相关规定统筹安排和使用。</w:t>
      </w:r>
    </w:p>
    <w:p>
      <w:pPr>
        <w:spacing w:line="560" w:lineRule="exact"/>
        <w:ind w:firstLine="640" w:firstLineChars="200"/>
        <w:rPr>
          <w:rFonts w:ascii="楷体_GB2312" w:eastAsia="楷体_GB2312"/>
          <w:color w:val="252525"/>
          <w:sz w:val="32"/>
          <w:szCs w:val="32"/>
        </w:rPr>
      </w:pPr>
      <w:r>
        <w:rPr>
          <w:rFonts w:hint="eastAsia" w:ascii="楷体_GB2312" w:eastAsia="楷体_GB2312"/>
          <w:sz w:val="32"/>
          <w:szCs w:val="32"/>
        </w:rPr>
        <w:t>⑩</w:t>
      </w:r>
      <w:r>
        <w:rPr>
          <w:rFonts w:hint="eastAsia" w:ascii="楷体_GB2312" w:hAnsi="宋体" w:eastAsia="楷体_GB2312"/>
          <w:sz w:val="32"/>
          <w:szCs w:val="32"/>
        </w:rPr>
        <w:t>盘活存量资金：</w:t>
      </w:r>
      <w:r>
        <w:rPr>
          <w:rFonts w:hint="eastAsia" w:ascii="楷体_GB2312" w:eastAsia="楷体_GB2312"/>
          <w:color w:val="252525"/>
          <w:sz w:val="32"/>
          <w:szCs w:val="32"/>
        </w:rPr>
        <w:t>是把一些没有按照预算进度执行、依然趴在账上的沉淀结余资金用起来，更好地提高财政资金使用效益。</w:t>
      </w:r>
    </w:p>
    <w:p>
      <w:pPr>
        <w:spacing w:line="560" w:lineRule="exact"/>
        <w:ind w:firstLine="560" w:firstLineChars="200"/>
        <w:rPr>
          <w:rFonts w:ascii="楷体_GB2312" w:eastAsia="楷体_GB2312"/>
          <w:sz w:val="32"/>
          <w:szCs w:val="32"/>
        </w:rPr>
      </w:pPr>
      <w:r>
        <w:rPr>
          <w:rFonts w:ascii="Cambria Math" w:hAnsi="Cambria Math" w:eastAsia="楷体_GB2312" w:cs="Cambria Math"/>
          <w:sz w:val="28"/>
          <w:szCs w:val="32"/>
        </w:rPr>
        <w:t>⑪</w:t>
      </w:r>
      <w:r>
        <w:rPr>
          <w:rFonts w:hint="eastAsia" w:ascii="楷体_GB2312" w:hAnsi="仿宋_GB2312" w:eastAsia="楷体_GB2312" w:cs="仿宋_GB2312"/>
          <w:sz w:val="32"/>
          <w:szCs w:val="32"/>
        </w:rPr>
        <w:t>“三公”经费：</w:t>
      </w:r>
      <w:r>
        <w:rPr>
          <w:rFonts w:hint="eastAsia" w:ascii="楷体_GB2312" w:hAnsi="Arial" w:eastAsia="楷体_GB2312" w:cs="Arial"/>
          <w:color w:val="333333"/>
          <w:sz w:val="32"/>
          <w:szCs w:val="32"/>
          <w:shd w:val="clear" w:color="auto" w:fill="FFFFFF"/>
        </w:rPr>
        <w:t>指政府部门人员因公出国（境）经费、</w:t>
      </w:r>
      <w:r>
        <w:fldChar w:fldCharType="begin"/>
      </w:r>
      <w:r>
        <w:instrText xml:space="preserve"> HYPERLINK "https://baike.baidu.com/item/%E5%85%AC%E5%8A%A1%E8%BD%A6" \t "_blank" </w:instrText>
      </w:r>
      <w:r>
        <w:fldChar w:fldCharType="separate"/>
      </w:r>
      <w:r>
        <w:rPr>
          <w:rStyle w:val="11"/>
          <w:rFonts w:hint="eastAsia" w:ascii="楷体_GB2312" w:hAnsi="Arial" w:eastAsia="楷体_GB2312" w:cs="Arial"/>
          <w:color w:val="auto"/>
          <w:sz w:val="32"/>
          <w:szCs w:val="32"/>
          <w:shd w:val="clear" w:color="auto" w:fill="FFFFFF"/>
        </w:rPr>
        <w:t>公务车</w:t>
      </w:r>
      <w:r>
        <w:rPr>
          <w:rStyle w:val="11"/>
          <w:rFonts w:hint="eastAsia" w:ascii="楷体_GB2312" w:hAnsi="Arial" w:eastAsia="楷体_GB2312" w:cs="Arial"/>
          <w:color w:val="auto"/>
          <w:sz w:val="32"/>
          <w:szCs w:val="32"/>
          <w:shd w:val="clear" w:color="auto" w:fill="FFFFFF"/>
        </w:rPr>
        <w:fldChar w:fldCharType="end"/>
      </w:r>
      <w:r>
        <w:rPr>
          <w:rFonts w:hint="eastAsia" w:ascii="楷体_GB2312" w:hAnsi="Arial" w:eastAsia="楷体_GB2312" w:cs="Arial"/>
          <w:color w:val="333333"/>
          <w:sz w:val="32"/>
          <w:szCs w:val="32"/>
          <w:shd w:val="clear" w:color="auto" w:fill="FFFFFF"/>
        </w:rPr>
        <w:t>购置及运行费、公务招待费产生的消费。</w:t>
      </w:r>
    </w:p>
    <w:p>
      <w:pPr>
        <w:spacing w:line="560" w:lineRule="exact"/>
        <w:ind w:firstLine="560" w:firstLineChars="200"/>
        <w:rPr>
          <w:rFonts w:ascii="楷体_GB2312" w:hAnsi="Arial" w:eastAsia="楷体_GB2312" w:cs="Arial"/>
          <w:color w:val="333333"/>
          <w:sz w:val="32"/>
          <w:szCs w:val="32"/>
          <w:shd w:val="clear" w:color="auto" w:fill="FFFFFF"/>
        </w:rPr>
      </w:pPr>
      <w:r>
        <w:rPr>
          <w:rFonts w:ascii="Cambria Math" w:hAnsi="Cambria Math" w:eastAsia="楷体_GB2312" w:cs="Cambria Math"/>
          <w:sz w:val="28"/>
          <w:szCs w:val="32"/>
        </w:rPr>
        <w:t>⑫</w:t>
      </w:r>
      <w:r>
        <w:rPr>
          <w:rFonts w:hint="eastAsia" w:ascii="楷体_GB2312" w:hAnsi="Arial" w:eastAsia="楷体_GB2312" w:cs="Arial"/>
          <w:color w:val="333333"/>
          <w:sz w:val="32"/>
          <w:szCs w:val="32"/>
          <w:shd w:val="clear" w:color="auto" w:fill="FFFFFF"/>
        </w:rPr>
        <w:t>绩效预算管理：财政预算绩效管理是以一级政府财政预算（包括收入和支出）为对象，以政府财政预算在一定时期内所达到的总体产出和结果为内容，以促进政府透明、责任、高效履职为目的所开展的绩效管理活动。</w:t>
      </w:r>
    </w:p>
    <w:p>
      <w:pPr>
        <w:spacing w:line="560" w:lineRule="exact"/>
        <w:ind w:firstLine="640" w:firstLineChars="200"/>
        <w:rPr>
          <w:rFonts w:ascii="Arial Unicode MS" w:hAnsi="Arial Unicode MS" w:eastAsia="Arial Unicode MS" w:cs="Arial Unicode MS"/>
          <w:sz w:val="32"/>
          <w:szCs w:val="32"/>
        </w:rPr>
      </w:pPr>
    </w:p>
    <w:p>
      <w:pPr>
        <w:spacing w:line="560" w:lineRule="exact"/>
        <w:ind w:firstLine="640" w:firstLineChars="200"/>
        <w:rPr>
          <w:rFonts w:ascii="Arial Unicode MS" w:hAnsi="Arial Unicode MS" w:eastAsia="Arial Unicode MS" w:cs="Arial Unicode MS"/>
          <w:sz w:val="32"/>
          <w:szCs w:val="32"/>
        </w:rPr>
      </w:pPr>
    </w:p>
    <w:p>
      <w:pPr>
        <w:spacing w:line="560" w:lineRule="exact"/>
        <w:ind w:firstLine="643" w:firstLineChars="200"/>
        <w:rPr>
          <w:rFonts w:ascii="楷体_GB2312" w:eastAsia="楷体_GB2312"/>
          <w:b/>
          <w:sz w:val="32"/>
          <w:szCs w:val="32"/>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spacing w:line="540" w:lineRule="exact"/>
        <w:jc w:val="center"/>
        <w:rPr>
          <w:rFonts w:ascii="黑体" w:hAnsi="黑体" w:eastAsia="黑体"/>
          <w:sz w:val="44"/>
          <w:szCs w:val="44"/>
        </w:rPr>
      </w:pPr>
      <w:r>
        <w:rPr>
          <w:rFonts w:hint="eastAsia" w:ascii="黑体" w:hAnsi="黑体" w:eastAsia="黑体"/>
          <w:sz w:val="44"/>
          <w:szCs w:val="44"/>
        </w:rPr>
        <w:t>第二部分  一般公共预算</w:t>
      </w:r>
    </w:p>
    <w:tbl>
      <w:tblPr>
        <w:tblStyle w:val="7"/>
        <w:tblW w:w="8655" w:type="dxa"/>
        <w:tblInd w:w="93" w:type="dxa"/>
        <w:tblLayout w:type="autofit"/>
        <w:tblCellMar>
          <w:top w:w="0" w:type="dxa"/>
          <w:left w:w="108" w:type="dxa"/>
          <w:bottom w:w="0" w:type="dxa"/>
          <w:right w:w="108" w:type="dxa"/>
        </w:tblCellMar>
      </w:tblPr>
      <w:tblGrid>
        <w:gridCol w:w="15"/>
        <w:gridCol w:w="1389"/>
        <w:gridCol w:w="3552"/>
        <w:gridCol w:w="2253"/>
        <w:gridCol w:w="1031"/>
        <w:gridCol w:w="415"/>
      </w:tblGrid>
      <w:tr>
        <w:tblPrEx>
          <w:tblCellMar>
            <w:top w:w="0" w:type="dxa"/>
            <w:left w:w="108" w:type="dxa"/>
            <w:bottom w:w="0" w:type="dxa"/>
            <w:right w:w="108" w:type="dxa"/>
          </w:tblCellMar>
        </w:tblPrEx>
        <w:trPr>
          <w:gridAfter w:val="1"/>
          <w:wAfter w:w="415" w:type="dxa"/>
          <w:trHeight w:val="1005" w:hRule="atLeast"/>
        </w:trPr>
        <w:tc>
          <w:tcPr>
            <w:tcW w:w="8240" w:type="dxa"/>
            <w:gridSpan w:val="5"/>
            <w:tcBorders>
              <w:top w:val="nil"/>
              <w:left w:val="nil"/>
              <w:bottom w:val="single" w:color="auto" w:sz="4" w:space="0"/>
              <w:right w:val="nil"/>
            </w:tcBorders>
            <w:shd w:val="clear" w:color="000000" w:fill="FFFFFF"/>
            <w:noWrap/>
            <w:vAlign w:val="center"/>
          </w:tcPr>
          <w:p>
            <w:pPr>
              <w:widowControl/>
              <w:jc w:val="center"/>
              <w:rPr>
                <w:rFonts w:ascii="华文楷体" w:hAnsi="华文楷体" w:eastAsia="华文楷体" w:cs="宋体"/>
                <w:b/>
                <w:bCs/>
                <w:kern w:val="0"/>
                <w:sz w:val="32"/>
                <w:szCs w:val="32"/>
              </w:rPr>
            </w:pPr>
            <w:r>
              <w:rPr>
                <w:rFonts w:hint="eastAsia" w:ascii="华文楷体" w:hAnsi="华文楷体" w:eastAsia="华文楷体" w:cs="宋体"/>
                <w:b/>
                <w:bCs/>
                <w:kern w:val="0"/>
                <w:sz w:val="32"/>
                <w:szCs w:val="32"/>
              </w:rPr>
              <w:t>2023年一般公共预算表</w:t>
            </w:r>
          </w:p>
        </w:tc>
      </w:tr>
      <w:tr>
        <w:tblPrEx>
          <w:tblCellMar>
            <w:top w:w="0" w:type="dxa"/>
            <w:left w:w="108" w:type="dxa"/>
            <w:bottom w:w="0" w:type="dxa"/>
            <w:right w:w="108" w:type="dxa"/>
          </w:tblCellMar>
        </w:tblPrEx>
        <w:trPr>
          <w:gridAfter w:val="1"/>
          <w:wAfter w:w="415" w:type="dxa"/>
          <w:trHeight w:val="679"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名称</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金额</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税收收入</w:t>
            </w:r>
          </w:p>
        </w:tc>
        <w:tc>
          <w:tcPr>
            <w:tcW w:w="3284" w:type="dxa"/>
            <w:gridSpan w:val="2"/>
            <w:tcBorders>
              <w:top w:val="nil"/>
              <w:left w:val="nil"/>
              <w:bottom w:val="single" w:color="auto" w:sz="4" w:space="0"/>
              <w:right w:val="single" w:color="auto" w:sz="4" w:space="0"/>
            </w:tcBorders>
            <w:shd w:val="clear" w:color="000000" w:fill="FF0000"/>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39400 </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增值税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13500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企业所得税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7200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企业所得税退税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700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个人所得税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7500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资源税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2500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城市维护建设税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1000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房产税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700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印花税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1000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城镇土地使用税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700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土地增值税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1900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车船税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耕地占用税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2100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契税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烟叶税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环境保护税</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其他税收收入</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非税收入</w:t>
            </w:r>
          </w:p>
        </w:tc>
        <w:tc>
          <w:tcPr>
            <w:tcW w:w="3284" w:type="dxa"/>
            <w:gridSpan w:val="2"/>
            <w:tcBorders>
              <w:top w:val="nil"/>
              <w:left w:val="nil"/>
              <w:bottom w:val="single" w:color="auto" w:sz="4" w:space="0"/>
              <w:right w:val="single" w:color="auto" w:sz="4" w:space="0"/>
            </w:tcBorders>
            <w:shd w:val="clear" w:color="000000" w:fill="FF0000"/>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22900 </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专项收入</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3000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行政事业性收费收入</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2900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罚没收入</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4300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国有资本经营收入</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5000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国有资源（资产）有偿使用收入</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7700</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捐赠收入</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政府住房基金收入</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其他收入</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FF0000"/>
                <w:kern w:val="0"/>
                <w:sz w:val="22"/>
                <w:szCs w:val="22"/>
              </w:rPr>
            </w:pPr>
            <w:r>
              <w:rPr>
                <w:rFonts w:hint="eastAsia" w:ascii="宋体" w:hAnsi="宋体" w:eastAsia="宋体" w:cs="宋体"/>
                <w:color w:val="FF0000"/>
                <w:kern w:val="0"/>
                <w:sz w:val="22"/>
                <w:szCs w:val="22"/>
              </w:rPr>
              <w:t>　</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w:t>
            </w:r>
          </w:p>
        </w:tc>
        <w:tc>
          <w:tcPr>
            <w:tcW w:w="328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FF0000"/>
                <w:kern w:val="0"/>
                <w:sz w:val="22"/>
                <w:szCs w:val="22"/>
              </w:rPr>
            </w:pPr>
            <w:r>
              <w:rPr>
                <w:rFonts w:hint="eastAsia" w:ascii="宋体" w:hAnsi="宋体" w:eastAsia="宋体" w:cs="宋体"/>
                <w:color w:val="FF0000"/>
                <w:kern w:val="0"/>
                <w:sz w:val="22"/>
                <w:szCs w:val="22"/>
              </w:rPr>
              <w:t>　</w:t>
            </w:r>
          </w:p>
        </w:tc>
      </w:tr>
      <w:tr>
        <w:tblPrEx>
          <w:tblCellMar>
            <w:top w:w="0" w:type="dxa"/>
            <w:left w:w="108" w:type="dxa"/>
            <w:bottom w:w="0" w:type="dxa"/>
            <w:right w:w="108" w:type="dxa"/>
          </w:tblCellMar>
        </w:tblPrEx>
        <w:trPr>
          <w:gridAfter w:val="1"/>
          <w:wAfter w:w="415" w:type="dxa"/>
          <w:trHeight w:val="402" w:hRule="atLeast"/>
        </w:trPr>
        <w:tc>
          <w:tcPr>
            <w:tcW w:w="4956" w:type="dxa"/>
            <w:gridSpan w:val="3"/>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3284" w:type="dxa"/>
            <w:gridSpan w:val="2"/>
            <w:tcBorders>
              <w:top w:val="nil"/>
              <w:left w:val="nil"/>
              <w:bottom w:val="single" w:color="auto" w:sz="4" w:space="0"/>
              <w:right w:val="single" w:color="auto" w:sz="4" w:space="0"/>
            </w:tcBorders>
            <w:shd w:val="clear" w:color="000000" w:fill="FF0000"/>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xml:space="preserve">62300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nil"/>
              <w:bottom w:val="nil"/>
              <w:right w:val="nil"/>
            </w:tcBorders>
            <w:shd w:val="clear" w:color="000000" w:fill="FFFFFF"/>
            <w:noWrap/>
            <w:vAlign w:val="center"/>
          </w:tcPr>
          <w:p>
            <w:pPr>
              <w:widowControl/>
              <w:jc w:val="left"/>
              <w:rPr>
                <w:rFonts w:ascii="黑体" w:hAnsi="黑体" w:eastAsia="黑体" w:cs="宋体"/>
                <w:kern w:val="0"/>
                <w:sz w:val="28"/>
                <w:szCs w:val="28"/>
              </w:rPr>
            </w:pPr>
          </w:p>
        </w:tc>
        <w:tc>
          <w:tcPr>
            <w:tcW w:w="5805"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446"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405" w:hRule="atLeast"/>
        </w:trPr>
        <w:tc>
          <w:tcPr>
            <w:tcW w:w="8640" w:type="dxa"/>
            <w:gridSpan w:val="5"/>
            <w:tcBorders>
              <w:top w:val="nil"/>
              <w:left w:val="nil"/>
              <w:bottom w:val="nil"/>
              <w:right w:val="nil"/>
            </w:tcBorders>
            <w:shd w:val="clear" w:color="000000" w:fill="FFFFFF"/>
            <w:noWrap/>
            <w:vAlign w:val="center"/>
          </w:tcPr>
          <w:p>
            <w:pPr>
              <w:widowControl/>
              <w:jc w:val="center"/>
              <w:rPr>
                <w:rFonts w:ascii="黑体" w:hAnsi="黑体" w:eastAsia="黑体" w:cs="宋体"/>
                <w:b/>
                <w:bCs/>
                <w:kern w:val="0"/>
                <w:sz w:val="28"/>
                <w:szCs w:val="28"/>
              </w:rPr>
            </w:pPr>
            <w:r>
              <w:rPr>
                <w:rFonts w:hint="eastAsia" w:ascii="黑体" w:hAnsi="黑体" w:eastAsia="黑体" w:cs="宋体"/>
                <w:b/>
                <w:bCs/>
                <w:kern w:val="0"/>
                <w:sz w:val="28"/>
                <w:szCs w:val="28"/>
              </w:rPr>
              <w:t>2023年一般公共预算支出表</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5805"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446"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462" w:hRule="atLeast"/>
        </w:trPr>
        <w:tc>
          <w:tcPr>
            <w:tcW w:w="7194"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项目</w:t>
            </w:r>
          </w:p>
        </w:tc>
        <w:tc>
          <w:tcPr>
            <w:tcW w:w="144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预算数</w:t>
            </w:r>
          </w:p>
        </w:tc>
      </w:tr>
      <w:tr>
        <w:tblPrEx>
          <w:tblCellMar>
            <w:top w:w="0" w:type="dxa"/>
            <w:left w:w="108" w:type="dxa"/>
            <w:bottom w:w="0" w:type="dxa"/>
            <w:right w:w="108" w:type="dxa"/>
          </w:tblCellMar>
        </w:tblPrEx>
        <w:trPr>
          <w:gridBefore w:val="1"/>
          <w:wBefore w:w="15" w:type="dxa"/>
          <w:trHeight w:val="762"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代码</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名称</w:t>
            </w:r>
          </w:p>
        </w:tc>
        <w:tc>
          <w:tcPr>
            <w:tcW w:w="144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金额</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一般公共服务</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28536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人大事务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2536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1711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人大会议</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人大立法</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人大监督</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2010107</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人大代表履职能力提升</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2010108</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代表工作</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2010109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人大信访工作</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826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2010199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其他人大事务支出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20102</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政协事务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1108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2010201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429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2010202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680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2010203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2010204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政协会议</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2010205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委员视察</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2010206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参政议政</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2010250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2010299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其他政协事务支出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政府办公厅(室)及相关机构事务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13881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6248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330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649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专项业务及机关事务管理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政务公开审批</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564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2010308</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信访事务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181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2010309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参事事务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5910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2010399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其他政府办公厅（室）及相关机构事务支出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发展与改革事务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248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战略规划与实施</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日常经济运行调节</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社会事业发展规划</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2010407</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经济体制改革研究</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2010408</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物价管理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2010499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其他发展与改革事务支出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统计信息事务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专项统计业务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统计管理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2010507</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专项普查活动</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2010508</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统计抽样调查</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2010599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其他统计信息事务支出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832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预算改革业务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财政国库业务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财政监察</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2010607</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2010608</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财政委托业务支出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463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2010699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其他财政事务支出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20107</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税收事务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2010701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2010702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2010703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2010709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2010710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税收业务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2010750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2010799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其他税收事务支出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20108</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审计事务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318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2010801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312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2010802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2010803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2010804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审计业务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2010805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审计管理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2010806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2010850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2010899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其他审计事务支出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海关事务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缉私办案</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2010907</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口岸管理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2010908</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2010909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海关关务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2010910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关税征管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2010911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海关监管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2010912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检验检疫</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2010999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其他海关事务支出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纪检监察事务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1222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2011101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1147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2011102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2011103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2011104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大案要案查处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2011105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派驻派出机构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2011106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巡视工作</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2011150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2011199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其他纪检监察事务支出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商贸事务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对外贸易管理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国际经济合作</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外资管理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2011307</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国内贸易管理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2011308</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招商引资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2011399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其他商贸事务支出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知识产权事务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专利审批</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知识产权战略和规划</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2011408</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国际合作与交流</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2011409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知识产权宏观管理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2011410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商标管理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2011411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原产地地理标志管理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2011499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其他知识产权事务支出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民族事务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2012301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2012302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2012303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2012304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民族工作专项</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2012350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2012399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其他民族事务支出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港澳台事务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2012501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2012502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2012503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2012504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港澳事务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2012505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台湾事务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2012550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2012599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其他港澳台事务支出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档案事务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2012601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2012602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2012603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2012604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档案馆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2012699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其他档案事务支出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20128</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民主党派及工商联事务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2012801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2012802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2012803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2012804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参政议政</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2012850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2012899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其他民主党派及工商联事务支出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群众团体事务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191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2012901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2012902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2012903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2012906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工会事务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2012950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2012999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其他群众团体事务支出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党委办公厅（室）及相关机构事务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338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2013101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227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2013102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2013103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2013105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2013150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2013199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其他党委办公厅（室）及相关机构事务支出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20132</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组织事务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832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2013201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346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2013202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2013203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2013204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公务员事务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2013250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2013299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其他组织事务支出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487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宣传事务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247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2013301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245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2013302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2013303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2013304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宣传管理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2013350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2013399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其他宣传事务支出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统战事务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151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2013401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151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2013402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2013403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2013404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宗教事务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2013405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华侨事务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2013450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2013499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其他统战事务支出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对外联络事务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2013501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2013502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2013503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2013550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2013599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其他对外联络事务支出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其他共产党事务支出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2013601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2013602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2013603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2013650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2013699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其他共产党事务支出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20137</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网信事务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2013701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2013702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2013703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2013704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信息安全事务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2013750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2013799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其他网信事务支出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市场监督管理事务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1889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1827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2013802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市场主体管理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市场秩序执法</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2013808</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2013810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质量基础</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2013812</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药品事务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2013813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医疗器械事务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2013814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化妆品事务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2013815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质量安全监管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2013816</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食品安全监管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2013850</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2013899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其他市场监督管理事务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20199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其他一般公共服务支出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4368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2019901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国家赔偿费用支出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2019999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其他一般公共服务支出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4368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外交支出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20205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对外合作与交流</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2020503</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在华国际会议</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2020504</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国际交流活动</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2020505</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对外合作活动</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2020599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其他对外合作与交流支出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20206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对外宣传</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2020601</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对外宣传</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20299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其他外交支出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2029999</w:t>
            </w:r>
          </w:p>
        </w:tc>
        <w:tc>
          <w:tcPr>
            <w:tcW w:w="5805" w:type="dxa"/>
            <w:gridSpan w:val="2"/>
            <w:tcBorders>
              <w:top w:val="nil"/>
              <w:left w:val="nil"/>
              <w:bottom w:val="single" w:color="auto" w:sz="4" w:space="0"/>
              <w:right w:val="single" w:color="auto" w:sz="4" w:space="0"/>
            </w:tcBorders>
            <w:shd w:val="clear" w:color="000000" w:fill="00B05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其他外交支出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国防支出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军费</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现役部队</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2030102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预备役部队</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2030199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其他军费支出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国防科研事业</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2030401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国防科研事业</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专项工程</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2030501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专项工程</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国防动员</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兵役征集</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2030602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经济动员</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2030603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人民防空</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2030604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交通战备</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2030607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民兵</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2030608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边海防</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2030699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其他国防动员支出</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20399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其他国防支出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2039999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其他国防支出</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公共安全支出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10270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武装警察部队</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武装警察部队</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2040199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其他武装警察部队支出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公安</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6783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5439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2040219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2040220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执法办案</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1290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2040221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特别业务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2040222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特勤业务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2040223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移民事务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2040299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其他公安支出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国家安全</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2040301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2040302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2040303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2040304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安全业务</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2040350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2040399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其他国家安全支出</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检察</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2040401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2040402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2040403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2040409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“两房”建设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2040410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检查监督</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2040450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2040499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其他检察支出</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法院</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2040501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2040502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2040503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2040504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案件审判</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2040505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案件执行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2040506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“两庭”建设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2040550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2040599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其他法院支出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司法</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1138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968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基层司法业务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普法宣传</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律师管理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公共法律服务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国家统一法律职业资格考试</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2040610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社区矫正</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2040612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法治建设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2040613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2040699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其他司法支出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监狱</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罪犯生活及医疗卫生</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监狱业务及罪犯改造</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狱政设施建设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2040799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其他监狱支出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强制隔离戒毒</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强制隔离戒毒人员生活</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强制隔离戒毒人员教育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所政设施建设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2040899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其他强制隔离戒毒支出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国家保密</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2040901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2040902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2040903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2040904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保密技术</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2040905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保密管理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2040950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2040999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其他国家保密支出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20410</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缉私警察</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2041001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2041002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2041006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2041007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缉私业务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2041099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其他缉私警察支出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20499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其他公共安全支出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2349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2049902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国家司法救助支出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2049999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其他公共安全支出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2349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教育支出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54745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教育管理事务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1255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2050102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2050103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2050199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其他教育管理事务支出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1113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20502</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普通教育</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48470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2050201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学前教育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1843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2050202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小学教育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20280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2050203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初中教育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20947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2050204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高中教育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5307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2050205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高等教育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2050299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其他普通教育支出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职业教育</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1973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2050301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初等职业教育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2050302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中等职业教育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1558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2050303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技校教育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255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2050305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高等职业教育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2050399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其他职业教育支出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成人教育</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2050401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成人初等教育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2050402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成人中等教育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2050403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成人高等教育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2050404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成人广播电视教育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2050499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其他成人教育支出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广播电视教育</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2050501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广播电视学校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2050502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教育电视台</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2050599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其他广播电视教育支出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留学教育</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出国留学教育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2050602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来华留学教育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2050699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其他留学教育支出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20507</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特殊教育</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374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2050701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特殊学校教育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374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2050702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工读学校教育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2050799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其他特殊教育支出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20508</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进修及培训</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925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2050801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教师进修</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580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2050802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干部教育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345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2050803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培训支出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2050804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退役士兵能力提升</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2050899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其他进修及培训</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教育费附加安排的支出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2050901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农村中小学校舍建设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2050902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农村中小学教学设施</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2050903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城市中小学校舍建设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2050904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城市中小学教学设施</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2050905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中等职业学校教学设施</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2050999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其他教育费附加安排的支出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20599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其他教育支出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1687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2059999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其他教育支出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1687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科学技术支出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592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科学技术管理事务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197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197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2060102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2060103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2060199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其他科学技术管理事务支出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20602</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基础研究</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2060201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机构运行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2060203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自然科学基金</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2060204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实验室及相关设施</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2060205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重大科学工程</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2060206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专项基础科研</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2060207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专项技术基础</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2060208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科技人才队伍建设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2060299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其他基础研究支出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应用研究</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2060301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机构运行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2060302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社会公益研究</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2060303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高技术研究</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2060304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专项科研试制</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2060399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其他应用研究支出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技术研究与开发</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2060401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机构运行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2060404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科技成果转化与扩散</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2060405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共性技术研究与开发</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2060499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其他技术研究与开发支出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科技条件与服务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2060501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机构运行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2060502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技术创新服务体系</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2060503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科技条件专项</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2060599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其他科技条件与服务支出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社会科学</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社会科学研究机构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2060602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社会科学研究</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2060603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社科基金支出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2060699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其他社会科学支出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20607</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科学技术普及</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174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2060701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机构运行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2060702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科普活动</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2060703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青少年科技活动</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2060704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学术交流活动</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2060705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科技馆站</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2060799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其他科学技术普及支出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20608</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科技交流与合作</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2060801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国际交流与合作</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2060802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重大科技合作项目</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2060899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其他科技交流与合作支出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科技重大项目</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2060901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科技重大专项</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2060902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重点研发计划</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2060999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其他科技重大项目</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20699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其他科学技术支出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2069901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科技奖励</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2069902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核应急</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2069903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转制科研机构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2069999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其他科学技术支出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文化旅游体育与传媒支出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2799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文化和旅游</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755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图书馆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文化展示及纪念机构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艺术表演场所</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艺术表演团体</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199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文化活动</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2070109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群众文化</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152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2070110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文化和旅游交流与合作</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2070111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文化创作与保护</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2070112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文化和旅游市场管理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2070113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旅游宣传</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2070114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文化和旅游管理事务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2070199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其他文化和旅游支出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20702</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155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2070201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2070202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2070203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2070204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文物保护</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2070205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博物馆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2070206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历史名城与古迹</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2070299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其他文物支出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体育</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258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运动项目管理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体育竞赛</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体育训练</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体育场馆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群众体育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177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2070309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体育交流与合作</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2070399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其他体育支出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新闻出版电影</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2070602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2070603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2070604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新闻通讯</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2070605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出版发行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2070606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版权管理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2070607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电影</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2070699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其他新闻出版电影支出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20708</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广播电视</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541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2070801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541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2070802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2070803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2070806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监测监管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2070807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传输发射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2070808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广播电视事务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2070899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其他广播电视支出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20799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其他文化旅游体育与传媒支出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1090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2079902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宣传文化发展专项支出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2079903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文化产业发展专项支出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2079999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其他文化旅游体育与传媒支出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1090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社会保障和就业支出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52320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人力资源和社会保障管理事务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1292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250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综合业务管理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劳动保障监察</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就业管理事务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197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社会保险业务管理事务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2080109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社会保险经办机构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553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2080110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劳动关系和维权</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2080111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公共就业服务和职业技能鉴定机构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2080112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劳动人事争议调解仲裁</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2080113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政府特殊津贴</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2080114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资助留学回国人员</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2080115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博士后日常经费</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2080116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引进人才费用</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2080199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其他人力资源和社会保障管理事务支出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20802</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民政管理事务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846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2080201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2080202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2080203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2080206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社会组织管理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2080207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行政区划和地名管理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2080208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基层政权建设和社区治理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756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2080299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其他民政管理事务支出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补充全国社会保障基金</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2080402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用一般公共预算补充基金</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行政事业单位养老支出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29304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2080501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行政单位离退休</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2080502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事业单位离退休</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2080503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离退休人员管理机构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2080505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机关事业单位基本养老保险缴费支出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12964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2080506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机关事业单位职业年金缴费支出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6394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2080507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对机关事业单位基本养老保险基金的补助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9945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2080508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对机关事业单位职业年金的补助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2080599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其他行政事业单位养老支出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企业改革补助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企业关闭破产补助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2080602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厂办大集体改革补助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2080699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其他企业改革发展补助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就业补助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3775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就业创业服务补贴</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职业培训补贴</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社会保险补贴</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公益性岗位补贴</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2080709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职业技能鉴定补贴</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2080711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就业见习补贴</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2080712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高技能人才培养补助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2080713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促进创业补贴</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2080799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其他就业补助支出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3775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20808</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抚恤</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2176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2080801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死亡抚恤</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2080802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伤残抚恤</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2080803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在乡复员、退伍军人生活补助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2080805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义务兵优待</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662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2080806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农村籍退役士兵老年生活补助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2080807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光荣院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2080808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烈士纪念设施管理维护</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2080899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其他优抚支出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1391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退役安置</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382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2080901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退役士兵安置</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2080902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军队移交政府的离退休人员安置</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2080903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军队移交政府离退休干部管理机构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2080904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退役士兵管理教育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2080905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军队转业干部安置</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2080999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其他退役安置支出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20810</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社会福利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2081001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儿童福利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2081002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老年福利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2081003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康复辅具</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2081004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殡葬</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2081005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社会福利事业单位</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2081006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养老服务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2081099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其他社会福利支出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残疾人事业</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329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2081102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2081103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2081104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残疾人康复</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2081105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残疾人就业</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2081106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残疾人体育</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2081107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残疾人生活和护理补贴</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2081199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其他残疾人事业支出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红十字事业</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2081602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2081603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2081650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2081699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其他红十字事业支出</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20819</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最低生活保障</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8101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2081901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城市最低生活保障金支出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8101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2081902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农村最低生活保障金支出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20820</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临时救助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2082001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临时救助支出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2082002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流浪乞讨人员救助支出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特困人员救助供养</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550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城市特困人员救助供养支出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2082102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农村特困人员救助供养支出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350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补充道路交通事故社会救助基金</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2082401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交强险增值税补助基金支出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2082402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交强险罚款收入补助基金支出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其他生活救助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2082501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其他城市生活救助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2082502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其他农村生活救助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财政对基本养老保险基金的补助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3907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财政对企业职工基本养老保险基金的补助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2082602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财政对城乡居民基本养老保险基金的补助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3907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2082699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财政对其他基本养老保险基金的补助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20827</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财政对其他社会保险基金的补助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2082701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财政对失业保险基金的补助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2082702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财政对工伤保险基金的补助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2082799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其他财政对社会保险基金的补助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20828</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退役军人管理事务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507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2082801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2082802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2082803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2082804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拥军优属</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2082805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军供保障</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2082850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2082899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其他退役军人事务管理支出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320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20830</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财政代缴社会保险费支出</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2083001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财政代缴城乡居民基本养老保险费支出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2083099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财政代缴其他社会保险费支出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其他社会保障和就业支出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1083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2089999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其他社会保障和就业支出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1083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卫生健康支出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22824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卫生健康管理事务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251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251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2100102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2100103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2100199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其他卫生健康管理事务支出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公立医院</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5180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综合医院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3696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中医（民族）医院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1219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传染病医院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职业病防治医院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精神病医院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妇幼保健医院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儿童医院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其他专科医院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2100209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福利医院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2100210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行业医院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2100211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处理医疗欠费</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2100212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康复医院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2100213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优抚医院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2100299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其他公立医院支出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265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基层医疗卫生机构</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4584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2100301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城市社区卫生机构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786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2100302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乡镇卫生院</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3181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2100399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其他基层医疗卫生机构支出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617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公共卫生</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2938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疾病预防控制机构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522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卫生监督机构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295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妇幼保健机构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精神卫生机构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应急救治机构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采供血机构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2100407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其他专业公共卫生机构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2100408</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基本公共卫生服务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1611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2100409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重大公共卫生服务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2100410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突发公共卫生事件应急处理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2100499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其他公共卫生支出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中医药</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中医（民族医）药专项</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2100699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其他中医药支出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21007</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计划生育事务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1646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2100716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计划生育机构</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2100717</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计划生育服务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1646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2100799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其他计划生育事务支出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21011</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行政事业单位医疗</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5143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2101101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行政单位医疗</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1385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2101102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事业单位医疗</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3758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2101103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公务员医疗补助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2101199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其他行政事业单位医疗支出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21012</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财政对基本医疗保险基金的补助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1059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2101201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财政对职工基本医疗保险基金的补助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2101202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财政对城乡居民基本医疗保险基金的补助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1059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2101299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财政对其他基本医疗保险基金的补助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21013</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医疗救助</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1311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2101301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城乡医疗救助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1311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2101302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疾病应急救助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2101399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其他医疗救助支出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21014</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优抚对象医疗</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2101401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优抚对象医疗补助</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2101499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其他优抚对象医疗支出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21015</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医疗保障管理事务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2101501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2101502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2101503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2101504</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2101505</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医疗保障政策管理</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2101506</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医疗保障经办事务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2101550</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2101599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其他医疗保障管理事务支出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21016</w:t>
            </w:r>
          </w:p>
        </w:tc>
        <w:tc>
          <w:tcPr>
            <w:tcW w:w="5805"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老龄卫生健康事务</w:t>
            </w:r>
          </w:p>
        </w:tc>
        <w:tc>
          <w:tcPr>
            <w:tcW w:w="1446"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2101601</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老龄卫生健康事务</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其他卫生健康支出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2109999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其他卫生健康支出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节能环保支出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7896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环境保护管理事务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生态环境保护宣传</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环境保护法规、规划及标准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生态环境国际合作及履约</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生态环境保护行政许可</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应对气候变化管理事务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其他环境保护管理事务支出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环境监测与监察</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2110203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建设项目环评审查与监督</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2110204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核与辐射安全监督</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2110299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其他环境监测与监察支出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污染防治</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5332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2110301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大气</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2110302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水体</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5332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2110303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噪声</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2110304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固体废弃物与化学品</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2110305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放射源和放射性废物监管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2110306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辐射</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2110307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土壤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2110399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其他污染防治支出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21104</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自然生态保护</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1555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2110401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生态保护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689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2110402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农村环境保护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2110404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生物及物种资源保护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2110405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草原生态修复治理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2110406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自然保护地</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2110499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其他自然生态保护支出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866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21105</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天然林保护</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899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2110501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森林管护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2110502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社会保险补助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2110503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政策性社会性支出补助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2110506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天然林保护工程建设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2110507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停伐补助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899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2110599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其他天然林保护支出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21106</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退耕还林还草</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2110602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退耕现金</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2110603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退耕还林粮食折现补贴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2110604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退耕还林粮食费用补贴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2110605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退耕还林工程建设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2110699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其他退耕还林还草支出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21107</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风沙荒漠治理</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2110704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京津风沙源治理工程建设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2110799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其他风沙荒漠治理支出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21108</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退牧还草</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2110804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退牧还草工程建设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2110899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其他退牧还草支出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已垦草原退耕还草</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能源节约利用</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污染减排</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生态环境监测与信息</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生态环境执法监察</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减排专项支出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清洁生产专项支出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其他污染减排支出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可再生能源</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循环经济</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能源管理事务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能源科技装备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能源行业管理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能源管理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2111411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信息化建设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2111413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农村电网建设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2111499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其他能源管理事务支出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其他节能环保支出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110 </w:t>
            </w:r>
          </w:p>
        </w:tc>
      </w:tr>
      <w:tr>
        <w:tblPrEx>
          <w:tblCellMar>
            <w:top w:w="0" w:type="dxa"/>
            <w:left w:w="108" w:type="dxa"/>
            <w:bottom w:w="0" w:type="dxa"/>
            <w:right w:w="108" w:type="dxa"/>
          </w:tblCellMar>
        </w:tblPrEx>
        <w:trPr>
          <w:gridBefore w:val="1"/>
          <w:wBefore w:w="15" w:type="dxa"/>
          <w:trHeight w:val="300"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2119999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其他节能环保支出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城乡社区支出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26226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城乡社区管理事务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1689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233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城管执法</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1435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工程建设标准规范编制与监管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工程建设管理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市政公用行业市场监管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住宅建设与房地产市场监管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执业资格注册、资质审查</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其他城乡社区管理事务支出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城乡社区规划与管理</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城乡社区公共设施</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20962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2120303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小城镇基础设施建设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12000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2120399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其他城乡社区公共设施支出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8962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21205</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城乡社区环境卫生</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3544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2120501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城乡社区环境卫生</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3544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21206</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建设市场管理与监督</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2120601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建设市场管理与监督</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其他城乡社区支出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2129999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其他城乡社区支出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农林水支出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87891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农业农村</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36008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187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2783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农垦运行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科技转化与推广服务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病虫害控制</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236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农产品质量安全</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执法监管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2130111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统计监测与信息服务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2130112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行业业务管理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2130114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对外交流与合作</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2130119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防灾救灾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2130120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稳定农民收入补贴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2130121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农业结构调整补贴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2130122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农业生产发展</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15213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2130124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农村合作经济</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2130125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农产品加工与促销</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2130126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农村社会事业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2130135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农业资源保护修复与利用</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5300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2130142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农村道路建设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1500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2130148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渔业发展</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2130152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对高校毕业生到基层任职补助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2130153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农田建设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7326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其他农业农村支出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2521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林业和草原</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3291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256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事业机构</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森林资源培育</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931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技术推广与转化</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森林资源管理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森林生态效益补偿</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264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2130211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动植物保护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426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2130212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湿地保护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175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2130213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执法与监督</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2130217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防沙治沙</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2130220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对外合作与交流</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2130221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产业化管理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2130223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2130226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林区公共支出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2130227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贷款贴息</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2130234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林业草原防灾减灾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2130236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草原管理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2130237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行业业务管理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2130299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其他林业和草原支出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1180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水利</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6220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268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水利行业业务管理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水利工程建设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水利工程运行与维护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长江黄河等流域管理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水利前期工作</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水利执法监督</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水土保持</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水资源节约管理与保护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水质监测</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水文测报</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防汛</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抗旱</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农村水利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水利技术推广</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国际河流治理与管理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2130319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江河湖库水系综合整治</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2130321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大中型水库移民后期扶持专项支出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234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2130322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水利安全监督</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2130333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2130334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水利建设征地及移民支出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2130335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农村供水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2130336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南水北调工程建设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2130337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南水北调工程管理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2130399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其他水利支出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2889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巩固脱贫攻坚成果衔接乡村振兴</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21840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农村基础设施建设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11162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生产发展</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10273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社会发展</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贷款奖补和贴息</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175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“三西”农业建设专项补助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2130599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其他巩固脱贫攻坚成果衔接乡村振兴支出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230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21307</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农村综合改革</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5644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2130701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对村级公益事业建设的补助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1491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2130704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国有农场办社会职能改革补助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387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2130705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对村民委员会和村党支部的补助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2130706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对村集体经济组织的补助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2130707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农村综合改革示范试点补助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2130799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其他农村综合改革支出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3766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21308</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普惠金融发展支出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692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2130801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支持农村金融机构</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92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2130803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农业保险保费补贴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600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2130804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创业担保贷款贴息及奖补</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2130805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补充创业担保贷款基金</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2130899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其他普惠金融发展支出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目标价格补贴</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13118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2130901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棉花目标价格补贴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2130999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其他目标价格补贴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13118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其他农林水支出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1079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2139901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化解其他公益性乡村债务支出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2139999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其他农林水支出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1079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交通运输支出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21936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公路水路运输</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4867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公路建设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3799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公路养护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233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交通运输信息化建设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公路和运输安全</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2140111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公路还贷专项</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2140112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公路运输管理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745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2140114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公路和运输技术标准化建设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2140122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港口设施</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2140123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航道维护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2140127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船舶检验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2140128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救助打捞</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2140129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内河运输</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2140130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远洋运输</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2140131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海事管理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2140133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航标事业发展支出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2140136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水路运输管理支出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2140138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口岸建设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其他公路水路运输支出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铁路运输</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铁路路网建设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铁路还贷专项</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铁路安全</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铁路专项运输</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行业监管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2140299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其他铁路运输支出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民用航空运输</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机场建设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空管系统建设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民航还贷专项支出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民用航空安全</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民航专项运输</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2140399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其他民用航空运输支出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21405</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邮政业支出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2140501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2140502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2140503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2140504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行业监管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2140505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邮政普遍服务与特殊服务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2140599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其他邮政业支出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21406</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车辆购置税支出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14106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2140601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车辆购置税用于公路等基础设施建设支出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14106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2140602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车辆购置税用于农村公路建设支出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2140603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车辆购置税用于老旧汽车报废更新补贴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2140699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车辆购置税其他支出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其他交通运输支出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1963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2149901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公共交通运营补助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2149999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其他交通运输支出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1963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资源勘探工业信息等支出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238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资源勘探开发</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煤炭勘探开采和洗选</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石油和天然气勘探开采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黑色金属矿勘探和采选</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有色金属矿勘探和采选</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非金属矿勘探和采选</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其他资源勘探业支出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制造业</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纺织业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医药制造业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非金属矿物制品业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通信设备、计算机及其他电子设备制造业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交通运输设备制造业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电气机械及器材制造业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工艺品及其他制造业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2150212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石油加工、炼焦及核燃料加工业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2150213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化学原料及化学制品制造业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2150214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黑色金属冶炼及压延加工业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2150215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有色金属冶炼及压延加工业</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2150299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其他制造业支出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建筑业</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2150301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2150302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2150303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2150399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其他建筑业支出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工业和信息产业监管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战备应急</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专用通信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无线电及信息通信监管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2150516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工程建设及运行维护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2150517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产业发展</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2150599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其他工业和信息产业监管支出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21507</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国有资产监管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2150701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124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2150702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2150703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2150704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国有企业监事会专项</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2150705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中央企业专项管理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2150799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其他国有资产监管支出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21508</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支持中小企业发展和管理支出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2150801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2150802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2150803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2150804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科技型中小企业技术创新基金</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2150805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中小企业发展专项</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2150806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减免房租补贴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2150899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其他支持中小企业发展和管理支出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其他资源勘探工业信息等支出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2159901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黄金事务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2159904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技术改造支出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2159905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中药材扶持资金支出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2159906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重点产业振兴和技术改造项目贷款贴息</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2159999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其他资源勘探工业信息等支出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商业服务业等支出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294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商业流通事务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2160216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食品流通安全补贴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2160217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市场监测及信息管理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2160218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民贸企业补贴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2160219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民贸民品贷款贴息</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2160299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其他商业流通事务支出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21606</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涉外发展服务支出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2160601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2160602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2160603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2160607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外商投资环境建设补助资金</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2160699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其他涉外发展服务支出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其他商业服务业等支出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213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2169901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服务业基础设施建设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2169999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其他商业服务业等支出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213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金融部门行政支出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安全防卫</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2170150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金融部门其他行政支出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金融部门监管支出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货币发行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反假币</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重点金融机构监管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金融稽查与案件处理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金融行业电子化建设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从业人员资格考试</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反洗钱</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2170299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金融部门其他监管支出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金融发展支出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2170301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政策性银行亏损补贴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2170302</w:t>
            </w:r>
          </w:p>
        </w:tc>
        <w:tc>
          <w:tcPr>
            <w:tcW w:w="5805"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利息费用补贴支出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2170303</w:t>
            </w:r>
          </w:p>
        </w:tc>
        <w:tc>
          <w:tcPr>
            <w:tcW w:w="5805" w:type="dxa"/>
            <w:gridSpan w:val="2"/>
            <w:tcBorders>
              <w:top w:val="single" w:color="auto" w:sz="4" w:space="0"/>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补充资本金</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2170304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风险基金补助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2170399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其他金融发展支出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21704</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金融调控支出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2170401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中央银行亏损补贴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2170499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其他金融调控支出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其他金融支出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2179902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重点企业贷款贴息</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2179999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其他金融支出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援助其他地区支出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一般公共服务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教育</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21903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文化旅游体育与传媒</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21904</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卫生健康</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21905</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节能环保</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21906</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农业农村</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21907</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交通运输</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21908</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住房保障</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21999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自然资源海洋气象等支出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1485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自然资源事务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1485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896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自然资源规划及管理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自然资源利用与保护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178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自然资源社会公益服务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自然资源行业业务管理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自然资源调查与确权登记</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2200112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土地资源储备支出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2200113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地质矿产资源与环境调查</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2200114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地质勘查与矿产资源管理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2200115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地质转产项目财政贴息</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2200116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国外风险勘查</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2200119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地质勘查基金（周转金）支出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海域与海岛管理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自然资源国际合作与海洋权益维护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自然资源卫星</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极地考察</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深海调查与资源开发</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海港航标维护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海水淡化</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无居民海岛使用金支出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海洋战略规划与预警监测</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2200129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基础测绘与地理信息监管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其他自然资源事务支出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410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气象事业机构</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气象探测</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气象信息传输及管理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气象预报预测</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气象装备保障维护</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2200511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气象基础设施建设与维修</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2200512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气象卫星</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2200513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气象法规与标准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2200514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气象资金审计稽查</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2200599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其他气象事务支出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其他自然资源海洋气象等支出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2209999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其他自然资源海洋气象等支出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住房保障支出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13991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保障性安居工程支出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2044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廉租住房</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沉陷区治理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棚户区改造</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29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少数民族地区游牧民定居工程</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农村危房改造</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公共租赁住房</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保障性住房租金补贴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1191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老旧小区改造</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480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住房租赁市场发展</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保障性租赁住房</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其他保障性安居工程支出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住房改革支出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10597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2210201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住房公积金</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10597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2210202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提租补贴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2210203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购房补贴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城乡社区住宅</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1350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2210301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公有住房建设和维修改造支出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2210302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住房公积金管理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2210399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其他城乡社区住宅支出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1350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粮油物资储备支出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7600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粮油物资事务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7600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161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财务与审计支出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信息统计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专项业务活动</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国家粮油差价补贴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2220112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粮食财务挂账利息补贴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2220113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粮食财务挂账消化款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2220114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处理陈化粮补贴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2220115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粮食风险基金</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2220118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粮油市场调控专项资金</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2220119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设施建设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2220120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设施安全</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2220121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物资保管保养</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其他粮油物资事务支出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7340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22203</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能源储备</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2220301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石油储备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2220303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天然铀储备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2220304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煤炭储备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2220305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成品油储备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2220399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其他能源储备支出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22204</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粮油储备</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2220401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储备粮油补贴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2220402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储备粮油差价补贴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2220403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储备粮（油）库建设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2220404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最低收购价政策支出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2220499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其他粮油储备支出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重要商品储备</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棉花储备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食糖储备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肉类储备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化肥储备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农药储备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边销茶储备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羊毛储备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医药储备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食盐储备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战略物资储备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2220511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应急物资储备</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2220599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其他重要商品储备支出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灾害防治及应急管理支出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505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应急管理事务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364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灾害风险防治</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国务院安委会专项</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安全监管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应急救援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应急管理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2240199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其他应急管理支出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22402</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消防救援事务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2240201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2240202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2240203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2240204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消防应急救援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2240250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141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2240299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其他消防救援事务支出</w:t>
            </w:r>
          </w:p>
        </w:tc>
        <w:tc>
          <w:tcPr>
            <w:tcW w:w="14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22404</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矿山安全</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2240401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2240402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2240403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2240404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矿山安全监察事务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2240405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矿山应急救援事务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2240450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事业运行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2240499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其他矿山安全支出</w:t>
            </w:r>
          </w:p>
        </w:tc>
        <w:tc>
          <w:tcPr>
            <w:tcW w:w="14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地震事务</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行政运行</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一般行政管理事务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机关服务</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地震监测</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2240505</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地震预测预报</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2240506</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地震灾害预防</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2240507</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地震应急救援</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2240508</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地震环境探察</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2240509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防震减灾信息管理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2240510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防震减灾基础管理</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2240550</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地震事业机构</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2240599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其他地震事务支出</w:t>
            </w:r>
          </w:p>
        </w:tc>
        <w:tc>
          <w:tcPr>
            <w:tcW w:w="1446"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22406</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自然灾害防治</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2240601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地质灾害防治</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2240602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森林草原防灾减灾</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2240699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其他自然灾害防治支出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22407</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自然灾害救灾及恢复重建支出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2240703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自然灾害救灾补助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2240704</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自然灾害灾后重建补助</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2240799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其他自然灾害救灾及恢复重建支出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22499</w:t>
            </w:r>
          </w:p>
        </w:tc>
        <w:tc>
          <w:tcPr>
            <w:tcW w:w="5805" w:type="dxa"/>
            <w:gridSpan w:val="2"/>
            <w:tcBorders>
              <w:top w:val="nil"/>
              <w:left w:val="nil"/>
              <w:bottom w:val="single" w:color="auto" w:sz="4" w:space="0"/>
              <w:right w:val="nil"/>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其他灾害防治及应急管理支出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2249999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其他灾害防治及应急管理支出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227</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预备费</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229</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22902</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年初预留</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22999</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其他支出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232</w:t>
            </w:r>
          </w:p>
        </w:tc>
        <w:tc>
          <w:tcPr>
            <w:tcW w:w="5805" w:type="dxa"/>
            <w:gridSpan w:val="2"/>
            <w:tcBorders>
              <w:top w:val="nil"/>
              <w:left w:val="nil"/>
              <w:bottom w:val="single" w:color="auto" w:sz="4" w:space="0"/>
              <w:right w:val="nil"/>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债务付息支出</w:t>
            </w:r>
          </w:p>
        </w:tc>
        <w:tc>
          <w:tcPr>
            <w:tcW w:w="1446" w:type="dxa"/>
            <w:gridSpan w:val="2"/>
            <w:tcBorders>
              <w:top w:val="nil"/>
              <w:left w:val="single" w:color="auto" w:sz="4" w:space="0"/>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10490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23203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地方政府一般债务付息支出</w:t>
            </w:r>
          </w:p>
        </w:tc>
        <w:tc>
          <w:tcPr>
            <w:tcW w:w="1446" w:type="dxa"/>
            <w:gridSpan w:val="2"/>
            <w:tcBorders>
              <w:top w:val="nil"/>
              <w:left w:val="single" w:color="auto" w:sz="4" w:space="0"/>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10490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2320301</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地方政府一般债券付息支出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10490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2320302</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地方政府向外国政府借款付息支出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2320303</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地方政府向国际组织借款付息支出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2320399</w:t>
            </w:r>
          </w:p>
        </w:tc>
        <w:tc>
          <w:tcPr>
            <w:tcW w:w="580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地方政府其他一般债务付息支出</w:t>
            </w:r>
          </w:p>
        </w:tc>
        <w:tc>
          <w:tcPr>
            <w:tcW w:w="144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233</w:t>
            </w:r>
          </w:p>
        </w:tc>
        <w:tc>
          <w:tcPr>
            <w:tcW w:w="5805" w:type="dxa"/>
            <w:gridSpan w:val="2"/>
            <w:tcBorders>
              <w:top w:val="nil"/>
              <w:left w:val="nil"/>
              <w:bottom w:val="single" w:color="auto" w:sz="4" w:space="0"/>
              <w:right w:val="single" w:color="auto" w:sz="4" w:space="0"/>
            </w:tcBorders>
            <w:shd w:val="clear" w:color="000000" w:fill="FF0000"/>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债务发行费用支出</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23303</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    地方政府一般债务发行费用支出</w:t>
            </w:r>
          </w:p>
        </w:tc>
        <w:tc>
          <w:tcPr>
            <w:tcW w:w="14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98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446"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gridBefore w:val="1"/>
          <w:wBefore w:w="15" w:type="dxa"/>
          <w:trHeight w:val="375" w:hRule="atLeast"/>
        </w:trPr>
        <w:tc>
          <w:tcPr>
            <w:tcW w:w="138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580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支出总计</w:t>
            </w:r>
          </w:p>
        </w:tc>
        <w:tc>
          <w:tcPr>
            <w:tcW w:w="1446" w:type="dxa"/>
            <w:gridSpan w:val="2"/>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xml:space="preserve">350787 </w:t>
            </w:r>
          </w:p>
        </w:tc>
      </w:tr>
    </w:tbl>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32"/>
          <w:szCs w:val="44"/>
          <w:shd w:val="clear" w:color="auto" w:fill="FFFFFF"/>
        </w:rPr>
      </w:pPr>
    </w:p>
    <w:tbl>
      <w:tblPr>
        <w:tblStyle w:val="7"/>
        <w:tblW w:w="5000" w:type="pct"/>
        <w:tblInd w:w="0" w:type="dxa"/>
        <w:tblLayout w:type="autofit"/>
        <w:tblCellMar>
          <w:top w:w="0" w:type="dxa"/>
          <w:left w:w="108" w:type="dxa"/>
          <w:bottom w:w="0" w:type="dxa"/>
          <w:right w:w="108" w:type="dxa"/>
        </w:tblCellMar>
      </w:tblPr>
      <w:tblGrid>
        <w:gridCol w:w="109"/>
        <w:gridCol w:w="549"/>
        <w:gridCol w:w="671"/>
        <w:gridCol w:w="1512"/>
        <w:gridCol w:w="780"/>
        <w:gridCol w:w="393"/>
        <w:gridCol w:w="213"/>
        <w:gridCol w:w="430"/>
        <w:gridCol w:w="241"/>
        <w:gridCol w:w="466"/>
        <w:gridCol w:w="413"/>
        <w:gridCol w:w="327"/>
        <w:gridCol w:w="279"/>
        <w:gridCol w:w="118"/>
        <w:gridCol w:w="27"/>
        <w:gridCol w:w="338"/>
        <w:gridCol w:w="382"/>
        <w:gridCol w:w="606"/>
        <w:gridCol w:w="403"/>
        <w:gridCol w:w="203"/>
        <w:gridCol w:w="600"/>
      </w:tblGrid>
      <w:tr>
        <w:tblPrEx>
          <w:tblCellMar>
            <w:top w:w="0" w:type="dxa"/>
            <w:left w:w="108" w:type="dxa"/>
            <w:bottom w:w="0" w:type="dxa"/>
            <w:right w:w="108" w:type="dxa"/>
          </w:tblCellMar>
        </w:tblPrEx>
        <w:trPr>
          <w:trHeight w:val="285" w:hRule="atLeast"/>
        </w:trPr>
        <w:tc>
          <w:tcPr>
            <w:tcW w:w="737" w:type="pct"/>
            <w:gridSpan w:val="3"/>
            <w:tcBorders>
              <w:top w:val="nil"/>
              <w:left w:val="nil"/>
              <w:bottom w:val="nil"/>
              <w:right w:val="nil"/>
            </w:tcBorders>
            <w:shd w:val="clear" w:color="000000" w:fill="FFFFFF"/>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表五</w:t>
            </w:r>
          </w:p>
        </w:tc>
        <w:tc>
          <w:tcPr>
            <w:tcW w:w="1489" w:type="pct"/>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2"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77"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408"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243" w:type="pct"/>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190" w:type="pct"/>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214" w:type="pct"/>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7" w:type="pct"/>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5"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7" w:type="pct"/>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450" w:hRule="atLeast"/>
        </w:trPr>
        <w:tc>
          <w:tcPr>
            <w:tcW w:w="5000" w:type="pct"/>
            <w:gridSpan w:val="21"/>
            <w:tcBorders>
              <w:top w:val="nil"/>
              <w:left w:val="nil"/>
              <w:bottom w:val="nil"/>
              <w:right w:val="nil"/>
            </w:tcBorders>
            <w:shd w:val="clear" w:color="000000"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2023年一般公共预算支出经济分类表</w:t>
            </w:r>
          </w:p>
        </w:tc>
      </w:tr>
      <w:tr>
        <w:tblPrEx>
          <w:tblCellMar>
            <w:top w:w="0" w:type="dxa"/>
            <w:left w:w="108" w:type="dxa"/>
            <w:bottom w:w="0" w:type="dxa"/>
            <w:right w:w="108" w:type="dxa"/>
          </w:tblCellMar>
        </w:tblPrEx>
        <w:trPr>
          <w:trHeight w:val="405" w:hRule="atLeast"/>
        </w:trPr>
        <w:tc>
          <w:tcPr>
            <w:tcW w:w="737" w:type="pct"/>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838" w:type="pct"/>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434" w:type="pct"/>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5"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4"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485"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4"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493" w:type="pct"/>
            <w:gridSpan w:val="4"/>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7" w:type="pct"/>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5"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337" w:type="pct"/>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462" w:hRule="atLeast"/>
        </w:trPr>
        <w:tc>
          <w:tcPr>
            <w:tcW w:w="1575"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w:t>
            </w:r>
          </w:p>
        </w:tc>
        <w:tc>
          <w:tcPr>
            <w:tcW w:w="434"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总计</w:t>
            </w:r>
          </w:p>
        </w:tc>
        <w:tc>
          <w:tcPr>
            <w:tcW w:w="335"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501</w:t>
            </w:r>
          </w:p>
        </w:tc>
        <w:tc>
          <w:tcPr>
            <w:tcW w:w="334"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502</w:t>
            </w:r>
          </w:p>
        </w:tc>
        <w:tc>
          <w:tcPr>
            <w:tcW w:w="485"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503</w:t>
            </w:r>
          </w:p>
        </w:tc>
        <w:tc>
          <w:tcPr>
            <w:tcW w:w="334"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505</w:t>
            </w:r>
          </w:p>
        </w:tc>
        <w:tc>
          <w:tcPr>
            <w:tcW w:w="493"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506</w:t>
            </w:r>
          </w:p>
        </w:tc>
        <w:tc>
          <w:tcPr>
            <w:tcW w:w="33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509</w:t>
            </w:r>
          </w:p>
        </w:tc>
        <w:tc>
          <w:tcPr>
            <w:tcW w:w="335"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510</w:t>
            </w:r>
          </w:p>
        </w:tc>
        <w:tc>
          <w:tcPr>
            <w:tcW w:w="33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512</w:t>
            </w:r>
          </w:p>
        </w:tc>
      </w:tr>
      <w:tr>
        <w:tblPrEx>
          <w:tblCellMar>
            <w:top w:w="0" w:type="dxa"/>
            <w:left w:w="108" w:type="dxa"/>
            <w:bottom w:w="0" w:type="dxa"/>
            <w:right w:w="108" w:type="dxa"/>
          </w:tblCellMar>
        </w:tblPrEx>
        <w:trPr>
          <w:trHeight w:val="1380"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代码</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名称</w:t>
            </w: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szCs w:val="22"/>
              </w:rPr>
            </w:pPr>
          </w:p>
        </w:tc>
        <w:tc>
          <w:tcPr>
            <w:tcW w:w="335"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机关工资福利支出</w:t>
            </w:r>
          </w:p>
        </w:tc>
        <w:tc>
          <w:tcPr>
            <w:tcW w:w="334"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机关商品和服务支出</w:t>
            </w:r>
          </w:p>
        </w:tc>
        <w:tc>
          <w:tcPr>
            <w:tcW w:w="485"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机关资本性支出（一）</w:t>
            </w:r>
          </w:p>
        </w:tc>
        <w:tc>
          <w:tcPr>
            <w:tcW w:w="334"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对事业单位经常性补助</w:t>
            </w:r>
          </w:p>
        </w:tc>
        <w:tc>
          <w:tcPr>
            <w:tcW w:w="49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对事业单位资本性补助</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对个人和家庭的补助</w:t>
            </w:r>
          </w:p>
        </w:tc>
        <w:tc>
          <w:tcPr>
            <w:tcW w:w="335"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对社会保障基金补助</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债务还本支出</w:t>
            </w:r>
          </w:p>
        </w:tc>
      </w:tr>
      <w:tr>
        <w:tblPrEx>
          <w:tblCellMar>
            <w:top w:w="0" w:type="dxa"/>
            <w:left w:w="108" w:type="dxa"/>
            <w:bottom w:w="0" w:type="dxa"/>
            <w:right w:w="108" w:type="dxa"/>
          </w:tblCellMar>
        </w:tblPrEx>
        <w:trPr>
          <w:trHeight w:val="268"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28,536</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24,213</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2,923</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1,400</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44"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334"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52</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52</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82"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10,270</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4,487</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1,290</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53</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4,439</w:t>
            </w: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44"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54,745</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4,500</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2,800</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7,000</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15,723</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24,722</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192"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592</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160</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377</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55</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310"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2,799</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497</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635</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1,193</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474</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316"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52,320</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958</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615</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2,132</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1,310</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29,579</w:t>
            </w: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17,726</w:t>
            </w: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20"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22,824</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1,255</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2,300</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7,276</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10,543</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1,450</w:t>
            </w: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324"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7,896</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95</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2,000</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5,691</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110</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72"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26,226</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900</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1,000</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21,326</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3,000</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34"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87,891</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1,175</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3,451</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38,647</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4,964</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39,654</w:t>
            </w: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338"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21,936</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91</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104</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21,516</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105</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120</w:t>
            </w: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72"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238</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103</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135</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34"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294</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115</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84</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95</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196"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86"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62"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1,485</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442</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476</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171</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396</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352"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13,991</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13,879</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112</w:t>
            </w: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86"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7,600</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350</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90</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3,949</w:t>
            </w: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3,211</w:t>
            </w: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376"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505</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220</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250</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35</w:t>
            </w: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82"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44"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348"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C4BD97"/>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C4BD97"/>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C4BD97"/>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C4BD97"/>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C4BD97"/>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C4BD97"/>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C4BD97"/>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C4BD97"/>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C4BD97"/>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268"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10,490</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10,490</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402" w:hRule="atLeast"/>
        </w:trPr>
        <w:tc>
          <w:tcPr>
            <w:tcW w:w="363" w:type="pct"/>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98</w:t>
            </w:r>
          </w:p>
        </w:tc>
        <w:tc>
          <w:tcPr>
            <w:tcW w:w="1212"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8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493"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98</w:t>
            </w:r>
          </w:p>
        </w:tc>
        <w:tc>
          <w:tcPr>
            <w:tcW w:w="335"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c>
          <w:tcPr>
            <w:tcW w:w="33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trHeight w:val="402" w:hRule="atLeast"/>
        </w:trPr>
        <w:tc>
          <w:tcPr>
            <w:tcW w:w="1575"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350,787</w:t>
            </w:r>
          </w:p>
        </w:tc>
        <w:tc>
          <w:tcPr>
            <w:tcW w:w="434"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39,458</w:t>
            </w:r>
          </w:p>
        </w:tc>
        <w:tc>
          <w:tcPr>
            <w:tcW w:w="335" w:type="pct"/>
            <w:gridSpan w:val="2"/>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18,550</w:t>
            </w:r>
          </w:p>
        </w:tc>
        <w:tc>
          <w:tcPr>
            <w:tcW w:w="334" w:type="pct"/>
            <w:gridSpan w:val="2"/>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122,833</w:t>
            </w:r>
          </w:p>
        </w:tc>
        <w:tc>
          <w:tcPr>
            <w:tcW w:w="485" w:type="pct"/>
            <w:gridSpan w:val="2"/>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38,345</w:t>
            </w:r>
          </w:p>
        </w:tc>
        <w:tc>
          <w:tcPr>
            <w:tcW w:w="334" w:type="pct"/>
            <w:gridSpan w:val="2"/>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24,722</w:t>
            </w:r>
          </w:p>
        </w:tc>
        <w:tc>
          <w:tcPr>
            <w:tcW w:w="493" w:type="pct"/>
            <w:gridSpan w:val="4"/>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78,565</w:t>
            </w:r>
          </w:p>
        </w:tc>
        <w:tc>
          <w:tcPr>
            <w:tcW w:w="337"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17,726</w:t>
            </w:r>
          </w:p>
        </w:tc>
        <w:tc>
          <w:tcPr>
            <w:tcW w:w="335" w:type="pct"/>
            <w:gridSpan w:val="2"/>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r>
              <w:rPr>
                <w:rFonts w:hint="eastAsia" w:ascii="宋体" w:hAnsi="宋体" w:eastAsia="宋体" w:cs="宋体"/>
                <w:kern w:val="0"/>
                <w:sz w:val="13"/>
                <w:szCs w:val="20"/>
              </w:rPr>
              <w:t>10,588</w:t>
            </w:r>
          </w:p>
        </w:tc>
        <w:tc>
          <w:tcPr>
            <w:tcW w:w="337" w:type="pct"/>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13"/>
                <w:szCs w:val="20"/>
              </w:rPr>
            </w:pPr>
          </w:p>
        </w:tc>
      </w:tr>
      <w:tr>
        <w:tblPrEx>
          <w:tblCellMar>
            <w:top w:w="0" w:type="dxa"/>
            <w:left w:w="108" w:type="dxa"/>
            <w:bottom w:w="0" w:type="dxa"/>
            <w:right w:w="108" w:type="dxa"/>
          </w:tblCellMar>
        </w:tblPrEx>
        <w:trPr>
          <w:gridBefore w:val="1"/>
          <w:gridAfter w:val="2"/>
          <w:wBefore w:w="60" w:type="pct"/>
          <w:wAfter w:w="450" w:type="pct"/>
          <w:trHeight w:val="360" w:hRule="atLeast"/>
        </w:trPr>
        <w:tc>
          <w:tcPr>
            <w:tcW w:w="3508" w:type="pct"/>
            <w:gridSpan w:val="13"/>
            <w:tcBorders>
              <w:top w:val="nil"/>
              <w:left w:val="nil"/>
              <w:bottom w:val="nil"/>
              <w:right w:val="nil"/>
            </w:tcBorders>
            <w:shd w:val="clear" w:color="000000" w:fill="FFFFFF"/>
            <w:noWrap/>
            <w:vAlign w:val="center"/>
          </w:tcPr>
          <w:p>
            <w:pPr>
              <w:widowControl/>
              <w:jc w:val="left"/>
              <w:rPr>
                <w:rFonts w:ascii="黑体" w:hAnsi="黑体" w:eastAsia="黑体" w:cs="宋体"/>
                <w:kern w:val="0"/>
                <w:sz w:val="24"/>
              </w:rPr>
            </w:pPr>
            <w:r>
              <w:rPr>
                <w:rFonts w:hint="eastAsia" w:ascii="黑体" w:hAnsi="黑体" w:eastAsia="黑体" w:cs="宋体"/>
                <w:kern w:val="0"/>
                <w:sz w:val="24"/>
              </w:rPr>
              <w:t>表三</w:t>
            </w:r>
          </w:p>
        </w:tc>
        <w:tc>
          <w:tcPr>
            <w:tcW w:w="982" w:type="pct"/>
            <w:gridSpan w:val="5"/>
            <w:tcBorders>
              <w:top w:val="nil"/>
              <w:left w:val="nil"/>
              <w:bottom w:val="nil"/>
              <w:right w:val="nil"/>
            </w:tcBorders>
            <w:shd w:val="clear" w:color="000000" w:fill="FFFFFF"/>
            <w:noWrap/>
            <w:vAlign w:val="center"/>
          </w:tcPr>
          <w:p>
            <w:pPr>
              <w:widowControl/>
              <w:jc w:val="left"/>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gridBefore w:val="1"/>
          <w:gridAfter w:val="2"/>
          <w:wBefore w:w="60" w:type="pct"/>
          <w:wAfter w:w="450" w:type="pct"/>
          <w:trHeight w:val="450" w:hRule="atLeast"/>
        </w:trPr>
        <w:tc>
          <w:tcPr>
            <w:tcW w:w="4490" w:type="pct"/>
            <w:gridSpan w:val="18"/>
            <w:tcBorders>
              <w:top w:val="nil"/>
              <w:left w:val="nil"/>
              <w:bottom w:val="nil"/>
              <w:right w:val="nil"/>
            </w:tcBorders>
            <w:shd w:val="clear" w:color="000000"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2023年一般公共预算收支平衡表</w:t>
            </w:r>
          </w:p>
        </w:tc>
      </w:tr>
      <w:tr>
        <w:tblPrEx>
          <w:tblCellMar>
            <w:top w:w="0" w:type="dxa"/>
            <w:left w:w="108" w:type="dxa"/>
            <w:bottom w:w="0" w:type="dxa"/>
            <w:right w:w="108" w:type="dxa"/>
          </w:tblCellMar>
        </w:tblPrEx>
        <w:trPr>
          <w:gridBefore w:val="1"/>
          <w:gridAfter w:val="2"/>
          <w:wBefore w:w="60" w:type="pct"/>
          <w:wAfter w:w="450" w:type="pct"/>
          <w:trHeight w:val="405" w:hRule="atLeast"/>
        </w:trPr>
        <w:tc>
          <w:tcPr>
            <w:tcW w:w="3508" w:type="pct"/>
            <w:gridSpan w:val="13"/>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982" w:type="pct"/>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39" w:hRule="atLeast"/>
        </w:trPr>
        <w:tc>
          <w:tcPr>
            <w:tcW w:w="3508" w:type="pct"/>
            <w:gridSpan w:val="13"/>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w:t>
            </w:r>
          </w:p>
        </w:tc>
        <w:tc>
          <w:tcPr>
            <w:tcW w:w="98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预算数</w:t>
            </w:r>
          </w:p>
        </w:tc>
      </w:tr>
      <w:tr>
        <w:tblPrEx>
          <w:tblCellMar>
            <w:top w:w="0" w:type="dxa"/>
            <w:left w:w="108" w:type="dxa"/>
            <w:bottom w:w="0" w:type="dxa"/>
            <w:right w:w="108" w:type="dxa"/>
          </w:tblCellMar>
        </w:tblPrEx>
        <w:trPr>
          <w:gridBefore w:val="1"/>
          <w:gridAfter w:val="2"/>
          <w:wBefore w:w="60" w:type="pct"/>
          <w:wAfter w:w="450" w:type="pct"/>
          <w:trHeight w:val="919" w:hRule="atLeast"/>
        </w:trPr>
        <w:tc>
          <w:tcPr>
            <w:tcW w:w="3508" w:type="pct"/>
            <w:gridSpan w:val="1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982"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金额</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本级收入合计</w:t>
            </w:r>
          </w:p>
        </w:tc>
        <w:tc>
          <w:tcPr>
            <w:tcW w:w="982" w:type="pct"/>
            <w:gridSpan w:val="5"/>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62300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转移性收入</w:t>
            </w:r>
          </w:p>
        </w:tc>
        <w:tc>
          <w:tcPr>
            <w:tcW w:w="982" w:type="pct"/>
            <w:gridSpan w:val="5"/>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298929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上级补助收入</w:t>
            </w:r>
          </w:p>
        </w:tc>
        <w:tc>
          <w:tcPr>
            <w:tcW w:w="982" w:type="pct"/>
            <w:gridSpan w:val="5"/>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275743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返还性收入</w:t>
            </w:r>
          </w:p>
        </w:tc>
        <w:tc>
          <w:tcPr>
            <w:tcW w:w="982" w:type="pct"/>
            <w:gridSpan w:val="5"/>
            <w:tcBorders>
              <w:top w:val="nil"/>
              <w:left w:val="nil"/>
              <w:bottom w:val="single" w:color="auto" w:sz="4" w:space="0"/>
              <w:right w:val="single" w:color="auto" w:sz="4" w:space="0"/>
            </w:tcBorders>
            <w:shd w:val="clear" w:color="000000" w:fill="00B050"/>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-4833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所得税基数返还收入 </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39</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成品油税费改革税收返还收入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323</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增值税税收返还收入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3722</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消费税税收返还收入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2</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增值税“五五分享”税收返还收入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-8919</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其他返还性收入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一般性转移支付收入</w:t>
            </w:r>
          </w:p>
        </w:tc>
        <w:tc>
          <w:tcPr>
            <w:tcW w:w="982" w:type="pct"/>
            <w:gridSpan w:val="5"/>
            <w:tcBorders>
              <w:top w:val="nil"/>
              <w:left w:val="nil"/>
              <w:bottom w:val="single" w:color="auto" w:sz="4" w:space="0"/>
              <w:right w:val="single" w:color="auto" w:sz="4" w:space="0"/>
            </w:tcBorders>
            <w:shd w:val="clear" w:color="000000" w:fill="00B050"/>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272680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体制补助收入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均衡性转移支付收入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60094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县级基本财力保障机制奖补资金收入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31460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结算补助收入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359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资源枯竭型城市转移支付补助收入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企业事业单位划转补助收入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产粮（油）大县奖励资金收入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7340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重点生态功能区转移支付收入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92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固定数额补助收入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39787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革命老区转移支付收入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民族地区转移支付收入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25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边境地区转移支付收入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巩固脱贫攻坚成果衔接乡村振兴转移支付收入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13273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一般公共服务共同财政事权转移支付收入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21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外交共同财政事权转移支付收入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国防共同财政事权转移支付收入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公共安全共同财政事权转移支付收入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1663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教育共同财政事权转移支付收入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7673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科学技术共同财政事权转移支付收入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文化旅游体育与传媒共同财政事权转移支付收入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987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社会保障和就业共同财政事权转移支付收入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26650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医疗卫生共同财政事权转移支付收入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5830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节能环保共同财政事权转移支付收入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2454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城乡社区共同财政事权转移支付收入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农林水共同财政事权转移支付收入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50059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交通运输共同财政事权转移支付收入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16302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资源勘探工业信息等共同财政事权转移支付收入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商业服务业等共同财政事权转移支付收入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金融共同财政事权转移支付收入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自然资源海洋气象等共同财政事权转移支付收入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住房保障共同财政事权转移支付收入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1700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粮油物资储备共同财政事权转移支付收入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灾害防治及应急管理共同财政事权转移支付收入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其他共同财政事权转移支付收入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6914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其他一般性转移支付收入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-24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专项转移支付收入</w:t>
            </w:r>
          </w:p>
        </w:tc>
        <w:tc>
          <w:tcPr>
            <w:tcW w:w="982" w:type="pct"/>
            <w:gridSpan w:val="5"/>
            <w:tcBorders>
              <w:top w:val="nil"/>
              <w:left w:val="nil"/>
              <w:bottom w:val="single" w:color="auto" w:sz="4" w:space="0"/>
              <w:right w:val="single" w:color="auto" w:sz="4" w:space="0"/>
            </w:tcBorders>
            <w:shd w:val="clear" w:color="000000" w:fill="00B050"/>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7896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一般公共服务</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外交</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国防</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公共安全</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教育</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科学技术</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167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文化旅游体育与传媒</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6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社会保障和就业</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卫生健康</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103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节能环保</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5332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城乡社区</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农林水</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1969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交通运输</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资源勘探工业信息等</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14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商业服务业等</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127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金融</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自然资源海洋气象等</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178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住房保障</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粮油物资储备</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灾害防治及应急管理</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下级上解收入</w:t>
            </w:r>
          </w:p>
        </w:tc>
        <w:tc>
          <w:tcPr>
            <w:tcW w:w="982" w:type="pct"/>
            <w:gridSpan w:val="5"/>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体制上解收入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专项上解收入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待偿债置换一般债券上年结余</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上年结余收入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15186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调入资金</w:t>
            </w:r>
          </w:p>
        </w:tc>
        <w:tc>
          <w:tcPr>
            <w:tcW w:w="982" w:type="pct"/>
            <w:gridSpan w:val="5"/>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8000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从政府性基金预算调入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8000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从国有资本经营预算调入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从其他资金调入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地方政府一般债务收入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地方政府一般债务转贷收入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区域间转移性收入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接受其他地区援助收入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生态保护补偿转移性收入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土地指标调剂转移性收入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其他转移性收入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动用预算稳定调节基金</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省补助计划单列市收入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  计划单列市上解省收入</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982"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Before w:val="1"/>
          <w:gridAfter w:val="2"/>
          <w:wBefore w:w="60" w:type="pct"/>
          <w:wAfter w:w="450" w:type="pct"/>
          <w:trHeight w:val="402" w:hRule="atLeast"/>
        </w:trPr>
        <w:tc>
          <w:tcPr>
            <w:tcW w:w="3508" w:type="pct"/>
            <w:gridSpan w:val="1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收入总计</w:t>
            </w:r>
          </w:p>
        </w:tc>
        <w:tc>
          <w:tcPr>
            <w:tcW w:w="982" w:type="pct"/>
            <w:gridSpan w:val="5"/>
            <w:tcBorders>
              <w:top w:val="nil"/>
              <w:left w:val="nil"/>
              <w:bottom w:val="single" w:color="auto" w:sz="4" w:space="0"/>
              <w:right w:val="single" w:color="auto" w:sz="4" w:space="0"/>
            </w:tcBorders>
            <w:shd w:val="clear" w:color="000000" w:fill="FF0000"/>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xml:space="preserve">361229 </w:t>
            </w:r>
          </w:p>
        </w:tc>
      </w:tr>
    </w:tbl>
    <w:p>
      <w:pPr>
        <w:rPr>
          <w:rFonts w:ascii="方正大标宋简体" w:hAnsi="方正大标宋简体" w:eastAsia="方正大标宋简体" w:cs="方正大标宋简体"/>
          <w:bCs/>
          <w:sz w:val="32"/>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28"/>
          <w:szCs w:val="44"/>
          <w:shd w:val="clear" w:color="auto" w:fill="FFFFFF"/>
        </w:rPr>
      </w:pPr>
    </w:p>
    <w:tbl>
      <w:tblPr>
        <w:tblStyle w:val="7"/>
        <w:tblW w:w="8776" w:type="dxa"/>
        <w:tblInd w:w="108" w:type="dxa"/>
        <w:tblLayout w:type="autofit"/>
        <w:tblCellMar>
          <w:top w:w="0" w:type="dxa"/>
          <w:left w:w="108" w:type="dxa"/>
          <w:bottom w:w="0" w:type="dxa"/>
          <w:right w:w="108" w:type="dxa"/>
        </w:tblCellMar>
      </w:tblPr>
      <w:tblGrid>
        <w:gridCol w:w="608"/>
        <w:gridCol w:w="1203"/>
        <w:gridCol w:w="1202"/>
        <w:gridCol w:w="1202"/>
        <w:gridCol w:w="1202"/>
        <w:gridCol w:w="1630"/>
        <w:gridCol w:w="1729"/>
      </w:tblGrid>
      <w:tr>
        <w:trPr>
          <w:trHeight w:val="495" w:hRule="atLeast"/>
        </w:trPr>
        <w:tc>
          <w:tcPr>
            <w:tcW w:w="8776" w:type="dxa"/>
            <w:gridSpan w:val="7"/>
            <w:tcBorders>
              <w:top w:val="nil"/>
              <w:left w:val="nil"/>
              <w:bottom w:val="nil"/>
              <w:right w:val="nil"/>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2022年政府一般债务限额和余额表</w:t>
            </w:r>
          </w:p>
        </w:tc>
      </w:tr>
      <w:tr>
        <w:tblPrEx>
          <w:tblCellMar>
            <w:top w:w="0" w:type="dxa"/>
            <w:left w:w="108" w:type="dxa"/>
            <w:bottom w:w="0" w:type="dxa"/>
            <w:right w:w="108" w:type="dxa"/>
          </w:tblCellMar>
        </w:tblPrEx>
        <w:trPr>
          <w:trHeight w:val="285" w:hRule="atLeast"/>
        </w:trPr>
        <w:tc>
          <w:tcPr>
            <w:tcW w:w="608"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203"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202"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202"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202"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63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729"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735" w:hRule="atLeast"/>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地区</w:t>
            </w:r>
          </w:p>
        </w:tc>
        <w:tc>
          <w:tcPr>
            <w:tcW w:w="480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债务余额</w:t>
            </w:r>
          </w:p>
        </w:tc>
        <w:tc>
          <w:tcPr>
            <w:tcW w:w="33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政府债务限额</w:t>
            </w:r>
          </w:p>
        </w:tc>
      </w:tr>
      <w:tr>
        <w:tblPrEx>
          <w:tblCellMar>
            <w:top w:w="0" w:type="dxa"/>
            <w:left w:w="108" w:type="dxa"/>
            <w:bottom w:w="0" w:type="dxa"/>
            <w:right w:w="108" w:type="dxa"/>
          </w:tblCellMar>
        </w:tblPrEx>
        <w:trPr>
          <w:trHeight w:val="735" w:hRule="atLeast"/>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480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一般债务</w:t>
            </w:r>
          </w:p>
        </w:tc>
        <w:tc>
          <w:tcPr>
            <w:tcW w:w="1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2022年政府债务限额</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2022年新增政府债务限额</w:t>
            </w:r>
          </w:p>
        </w:tc>
      </w:tr>
      <w:tr>
        <w:tblPrEx>
          <w:tblCellMar>
            <w:top w:w="0" w:type="dxa"/>
            <w:left w:w="108" w:type="dxa"/>
            <w:bottom w:w="0" w:type="dxa"/>
            <w:right w:w="108" w:type="dxa"/>
          </w:tblCellMar>
        </w:tblPrEx>
        <w:trPr>
          <w:trHeight w:val="735" w:hRule="atLeast"/>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期初余额</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当年新增</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当年减少</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期末余额</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一般债务</w:t>
            </w:r>
          </w:p>
        </w:tc>
        <w:tc>
          <w:tcPr>
            <w:tcW w:w="17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一般债务</w:t>
            </w:r>
          </w:p>
        </w:tc>
      </w:tr>
      <w:tr>
        <w:tblPrEx>
          <w:tblCellMar>
            <w:top w:w="0" w:type="dxa"/>
            <w:left w:w="108" w:type="dxa"/>
            <w:bottom w:w="0" w:type="dxa"/>
            <w:right w:w="108" w:type="dxa"/>
          </w:tblCellMar>
        </w:tblPrEx>
        <w:trPr>
          <w:trHeight w:val="735" w:hRule="atLeast"/>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233227.9</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42100</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21094.55</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254674.4</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261609.43</w:t>
            </w:r>
          </w:p>
        </w:tc>
        <w:tc>
          <w:tcPr>
            <w:tcW w:w="17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22000</w:t>
            </w:r>
          </w:p>
        </w:tc>
      </w:tr>
    </w:tbl>
    <w:p>
      <w:pPr>
        <w:rPr>
          <w:rFonts w:ascii="方正大标宋简体" w:hAnsi="方正大标宋简体" w:eastAsia="方正大标宋简体" w:cs="方正大标宋简体"/>
          <w:bCs/>
          <w:sz w:val="22"/>
          <w:szCs w:val="44"/>
          <w:shd w:val="clear" w:color="auto" w:fill="FFFFFF"/>
        </w:rPr>
      </w:pPr>
    </w:p>
    <w:p>
      <w:pPr>
        <w:rPr>
          <w:rFonts w:hint="eastAsia" w:ascii="方正大标宋简体" w:hAnsi="方正大标宋简体" w:eastAsia="方正大标宋简体" w:cs="方正大标宋简体"/>
          <w:bCs/>
          <w:sz w:val="44"/>
          <w:szCs w:val="44"/>
          <w:shd w:val="clear" w:color="auto" w:fill="FFFFFF"/>
        </w:rPr>
      </w:pPr>
      <w:r>
        <w:drawing>
          <wp:inline distT="0" distB="0" distL="114300" distR="114300">
            <wp:extent cx="6200775" cy="1604010"/>
            <wp:effectExtent l="0" t="0" r="9525"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200775" cy="1604010"/>
                    </a:xfrm>
                    <a:prstGeom prst="rect">
                      <a:avLst/>
                    </a:prstGeom>
                    <a:noFill/>
                    <a:ln>
                      <a:noFill/>
                    </a:ln>
                  </pic:spPr>
                </pic:pic>
              </a:graphicData>
            </a:graphic>
          </wp:inline>
        </w:drawing>
      </w:r>
    </w:p>
    <w:p>
      <w:pPr>
        <w:rPr>
          <w:rFonts w:hint="eastAsia" w:ascii="方正大标宋简体" w:hAnsi="方正大标宋简体" w:eastAsia="方正大标宋简体" w:cs="方正大标宋简体"/>
          <w:bCs/>
          <w:sz w:val="44"/>
          <w:szCs w:val="44"/>
          <w:shd w:val="clear" w:color="auto" w:fill="FFFFFF"/>
        </w:rPr>
      </w:pPr>
      <w:r>
        <w:drawing>
          <wp:inline distT="0" distB="0" distL="114300" distR="114300">
            <wp:extent cx="5612765" cy="3235325"/>
            <wp:effectExtent l="0" t="0" r="6985"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612765" cy="3235325"/>
                    </a:xfrm>
                    <a:prstGeom prst="rect">
                      <a:avLst/>
                    </a:prstGeom>
                    <a:noFill/>
                    <a:ln>
                      <a:noFill/>
                    </a:ln>
                  </pic:spPr>
                </pic:pic>
              </a:graphicData>
            </a:graphic>
          </wp:inline>
        </w:drawing>
      </w:r>
      <w:r>
        <w:drawing>
          <wp:inline distT="0" distB="0" distL="114300" distR="114300">
            <wp:extent cx="5612765" cy="2728595"/>
            <wp:effectExtent l="0" t="0" r="6985"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612765" cy="2728595"/>
                    </a:xfrm>
                    <a:prstGeom prst="rect">
                      <a:avLst/>
                    </a:prstGeom>
                    <a:noFill/>
                    <a:ln>
                      <a:noFill/>
                    </a:ln>
                  </pic:spPr>
                </pic:pic>
              </a:graphicData>
            </a:graphic>
          </wp:inline>
        </w:drawing>
      </w:r>
    </w:p>
    <w:p>
      <w:pPr>
        <w:rPr>
          <w:rFonts w:ascii="方正大标宋简体" w:hAnsi="方正大标宋简体" w:eastAsia="方正大标宋简体" w:cs="方正大标宋简体"/>
          <w:bCs/>
          <w:sz w:val="44"/>
          <w:szCs w:val="44"/>
          <w:shd w:val="clear" w:color="auto" w:fill="FFFFFF"/>
        </w:rPr>
      </w:pPr>
      <w:r>
        <w:drawing>
          <wp:inline distT="0" distB="0" distL="114300" distR="114300">
            <wp:extent cx="5869940" cy="6096000"/>
            <wp:effectExtent l="0" t="0" r="1651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869940" cy="6096000"/>
                    </a:xfrm>
                    <a:prstGeom prst="rect">
                      <a:avLst/>
                    </a:prstGeom>
                    <a:noFill/>
                    <a:ln>
                      <a:noFill/>
                    </a:ln>
                  </pic:spPr>
                </pic:pic>
              </a:graphicData>
            </a:graphic>
          </wp:inline>
        </w:drawing>
      </w:r>
    </w:p>
    <w:tbl>
      <w:tblPr>
        <w:tblStyle w:val="7"/>
        <w:tblW w:w="10016" w:type="dxa"/>
        <w:tblInd w:w="108" w:type="dxa"/>
        <w:tblLayout w:type="autofit"/>
        <w:tblCellMar>
          <w:top w:w="0" w:type="dxa"/>
          <w:left w:w="108" w:type="dxa"/>
          <w:bottom w:w="0" w:type="dxa"/>
          <w:right w:w="108" w:type="dxa"/>
        </w:tblCellMar>
      </w:tblPr>
      <w:tblGrid>
        <w:gridCol w:w="2582"/>
        <w:gridCol w:w="3372"/>
        <w:gridCol w:w="4062"/>
      </w:tblGrid>
      <w:tr>
        <w:tblPrEx>
          <w:tblCellMar>
            <w:top w:w="0" w:type="dxa"/>
            <w:left w:w="108" w:type="dxa"/>
            <w:bottom w:w="0" w:type="dxa"/>
            <w:right w:w="108" w:type="dxa"/>
          </w:tblCellMar>
        </w:tblPrEx>
        <w:trPr>
          <w:trHeight w:val="450" w:hRule="atLeast"/>
        </w:trPr>
        <w:tc>
          <w:tcPr>
            <w:tcW w:w="10016" w:type="dxa"/>
            <w:gridSpan w:val="3"/>
            <w:tcBorders>
              <w:top w:val="nil"/>
              <w:left w:val="nil"/>
              <w:bottom w:val="nil"/>
              <w:right w:val="nil"/>
            </w:tcBorders>
            <w:shd w:val="clear" w:color="000000"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2023年一般公共预算支出“三公”经费预算表</w:t>
            </w:r>
          </w:p>
        </w:tc>
      </w:tr>
      <w:tr>
        <w:tblPrEx>
          <w:tblCellMar>
            <w:top w:w="0" w:type="dxa"/>
            <w:left w:w="108" w:type="dxa"/>
            <w:bottom w:w="0" w:type="dxa"/>
            <w:right w:w="108" w:type="dxa"/>
          </w:tblCellMar>
        </w:tblPrEx>
        <w:trPr>
          <w:trHeight w:val="390" w:hRule="atLeast"/>
        </w:trPr>
        <w:tc>
          <w:tcPr>
            <w:tcW w:w="2582"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3372"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4062"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619" w:hRule="atLeast"/>
        </w:trPr>
        <w:tc>
          <w:tcPr>
            <w:tcW w:w="5954" w:type="dxa"/>
            <w:gridSpan w:val="2"/>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项目名称</w:t>
            </w:r>
          </w:p>
        </w:tc>
        <w:tc>
          <w:tcPr>
            <w:tcW w:w="406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预算数</w:t>
            </w:r>
          </w:p>
        </w:tc>
      </w:tr>
      <w:tr>
        <w:tblPrEx>
          <w:tblCellMar>
            <w:top w:w="0" w:type="dxa"/>
            <w:left w:w="108" w:type="dxa"/>
            <w:bottom w:w="0" w:type="dxa"/>
            <w:right w:w="108" w:type="dxa"/>
          </w:tblCellMar>
        </w:tblPrEx>
        <w:trPr>
          <w:trHeight w:val="765" w:hRule="atLeast"/>
        </w:trPr>
        <w:tc>
          <w:tcPr>
            <w:tcW w:w="595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2"/>
                <w:szCs w:val="22"/>
              </w:rPr>
            </w:pP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金额</w:t>
            </w:r>
          </w:p>
        </w:tc>
      </w:tr>
      <w:tr>
        <w:tblPrEx>
          <w:tblCellMar>
            <w:top w:w="0" w:type="dxa"/>
            <w:left w:w="108" w:type="dxa"/>
            <w:bottom w:w="0" w:type="dxa"/>
            <w:right w:w="108" w:type="dxa"/>
          </w:tblCellMar>
        </w:tblPrEx>
        <w:trPr>
          <w:trHeight w:val="390" w:hRule="atLeast"/>
        </w:trPr>
        <w:tc>
          <w:tcPr>
            <w:tcW w:w="595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因公出国（境）费</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390" w:hRule="atLeast"/>
        </w:trPr>
        <w:tc>
          <w:tcPr>
            <w:tcW w:w="2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公务用车购置及运行费</w:t>
            </w:r>
          </w:p>
        </w:tc>
        <w:tc>
          <w:tcPr>
            <w:tcW w:w="337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115.02</w:t>
            </w:r>
          </w:p>
        </w:tc>
      </w:tr>
      <w:tr>
        <w:tblPrEx>
          <w:tblCellMar>
            <w:top w:w="0" w:type="dxa"/>
            <w:left w:w="108" w:type="dxa"/>
            <w:bottom w:w="0" w:type="dxa"/>
            <w:right w:w="108" w:type="dxa"/>
          </w:tblCellMar>
        </w:tblPrEx>
        <w:trPr>
          <w:trHeight w:val="390" w:hRule="atLeast"/>
        </w:trPr>
        <w:tc>
          <w:tcPr>
            <w:tcW w:w="2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37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公务用车购置费</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390" w:hRule="atLeast"/>
        </w:trPr>
        <w:tc>
          <w:tcPr>
            <w:tcW w:w="2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37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公务用车运行费</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115.02</w:t>
            </w:r>
          </w:p>
        </w:tc>
      </w:tr>
      <w:tr>
        <w:tblPrEx>
          <w:tblCellMar>
            <w:top w:w="0" w:type="dxa"/>
            <w:left w:w="108" w:type="dxa"/>
            <w:bottom w:w="0" w:type="dxa"/>
            <w:right w:w="108" w:type="dxa"/>
          </w:tblCellMar>
        </w:tblPrEx>
        <w:trPr>
          <w:trHeight w:val="390" w:hRule="atLeast"/>
        </w:trPr>
        <w:tc>
          <w:tcPr>
            <w:tcW w:w="595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公务接待费</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29.45</w:t>
            </w:r>
          </w:p>
        </w:tc>
      </w:tr>
      <w:tr>
        <w:tblPrEx>
          <w:tblCellMar>
            <w:top w:w="0" w:type="dxa"/>
            <w:left w:w="108" w:type="dxa"/>
            <w:bottom w:w="0" w:type="dxa"/>
            <w:right w:w="108" w:type="dxa"/>
          </w:tblCellMar>
        </w:tblPrEx>
        <w:trPr>
          <w:trHeight w:val="390" w:hRule="atLeast"/>
        </w:trPr>
        <w:tc>
          <w:tcPr>
            <w:tcW w:w="5954"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40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144</w:t>
            </w:r>
          </w:p>
        </w:tc>
      </w:tr>
    </w:tbl>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r>
        <w:rPr>
          <w:rFonts w:hint="eastAsia" w:ascii="黑体" w:hAnsi="黑体" w:eastAsia="黑体"/>
          <w:sz w:val="44"/>
          <w:szCs w:val="44"/>
        </w:rPr>
        <w:t xml:space="preserve">         第三部分  政府性基金预算</w:t>
      </w:r>
    </w:p>
    <w:tbl>
      <w:tblPr>
        <w:tblStyle w:val="7"/>
        <w:tblW w:w="9076" w:type="dxa"/>
        <w:tblInd w:w="108" w:type="dxa"/>
        <w:tblLayout w:type="autofit"/>
        <w:tblCellMar>
          <w:top w:w="0" w:type="dxa"/>
          <w:left w:w="108" w:type="dxa"/>
          <w:bottom w:w="0" w:type="dxa"/>
          <w:right w:w="108" w:type="dxa"/>
        </w:tblCellMar>
      </w:tblPr>
      <w:tblGrid>
        <w:gridCol w:w="7088"/>
        <w:gridCol w:w="695"/>
        <w:gridCol w:w="1293"/>
      </w:tblGrid>
      <w:tr>
        <w:tblPrEx>
          <w:tblCellMar>
            <w:top w:w="0" w:type="dxa"/>
            <w:left w:w="108" w:type="dxa"/>
            <w:bottom w:w="0" w:type="dxa"/>
            <w:right w:w="108" w:type="dxa"/>
          </w:tblCellMar>
        </w:tblPrEx>
        <w:trPr>
          <w:trHeight w:val="450" w:hRule="atLeast"/>
        </w:trPr>
        <w:tc>
          <w:tcPr>
            <w:tcW w:w="9076" w:type="dxa"/>
            <w:gridSpan w:val="3"/>
            <w:tcBorders>
              <w:top w:val="nil"/>
              <w:left w:val="nil"/>
              <w:bottom w:val="nil"/>
              <w:right w:val="nil"/>
            </w:tcBorders>
            <w:shd w:val="clear" w:color="000000" w:fill="FFFFFF"/>
            <w:noWrap/>
            <w:vAlign w:val="center"/>
          </w:tcPr>
          <w:p>
            <w:pPr>
              <w:widowControl/>
              <w:jc w:val="center"/>
              <w:rPr>
                <w:rFonts w:hint="eastAsia" w:ascii="黑体" w:hAnsi="黑体" w:eastAsia="黑体" w:cs="宋体"/>
                <w:b/>
                <w:bCs/>
                <w:kern w:val="0"/>
                <w:sz w:val="36"/>
                <w:szCs w:val="36"/>
              </w:rPr>
            </w:pPr>
          </w:p>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2023年政府性基金预算收支表</w:t>
            </w:r>
          </w:p>
        </w:tc>
      </w:tr>
      <w:tr>
        <w:tblPrEx>
          <w:tblCellMar>
            <w:top w:w="0" w:type="dxa"/>
            <w:left w:w="108" w:type="dxa"/>
            <w:bottom w:w="0" w:type="dxa"/>
            <w:right w:w="108" w:type="dxa"/>
          </w:tblCellMar>
        </w:tblPrEx>
        <w:trPr>
          <w:trHeight w:val="285" w:hRule="atLeast"/>
        </w:trPr>
        <w:tc>
          <w:tcPr>
            <w:tcW w:w="7783"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c>
          <w:tcPr>
            <w:tcW w:w="1293"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559" w:hRule="atLeast"/>
        </w:trPr>
        <w:tc>
          <w:tcPr>
            <w:tcW w:w="90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收入</w:t>
            </w:r>
          </w:p>
        </w:tc>
      </w:tr>
      <w:tr>
        <w:tblPrEx>
          <w:tblCellMar>
            <w:top w:w="0" w:type="dxa"/>
            <w:left w:w="108" w:type="dxa"/>
            <w:bottom w:w="0" w:type="dxa"/>
            <w:right w:w="108" w:type="dxa"/>
          </w:tblCellMar>
        </w:tblPrEx>
        <w:trPr>
          <w:trHeight w:val="390" w:hRule="atLeast"/>
        </w:trPr>
        <w:tc>
          <w:tcPr>
            <w:tcW w:w="70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w:t>
            </w:r>
          </w:p>
        </w:tc>
        <w:tc>
          <w:tcPr>
            <w:tcW w:w="198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预算数</w:t>
            </w:r>
          </w:p>
        </w:tc>
      </w:tr>
      <w:tr>
        <w:tblPrEx>
          <w:tblCellMar>
            <w:top w:w="0" w:type="dxa"/>
            <w:left w:w="108" w:type="dxa"/>
            <w:bottom w:w="0" w:type="dxa"/>
            <w:right w:w="108" w:type="dxa"/>
          </w:tblCellMar>
        </w:tblPrEx>
        <w:trPr>
          <w:trHeight w:val="1200" w:hRule="atLeast"/>
        </w:trPr>
        <w:tc>
          <w:tcPr>
            <w:tcW w:w="708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szCs w:val="22"/>
              </w:rPr>
            </w:pPr>
          </w:p>
        </w:tc>
        <w:tc>
          <w:tcPr>
            <w:tcW w:w="198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金额</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一、农网还贷资金收入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二、海南省高等级公路车辆通行附加费收入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三、国家电影事业发展专项资金收入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四、国有土地收益基金收入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五、农业土地开发资金收入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六、国有土地使用权出让收入</w:t>
            </w:r>
          </w:p>
        </w:tc>
        <w:tc>
          <w:tcPr>
            <w:tcW w:w="1988" w:type="dxa"/>
            <w:gridSpan w:val="2"/>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13,000</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土地出让价款收入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13,000</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补缴的土地价款</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划拨土地收入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缴纳新增建设用地土地有偿使用费</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其他土地出让收入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七、大中型水库库区基金收入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八、彩票公益金收入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福利彩票公益金收入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体育彩票公益金收入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九、城市基础设施配套费收入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十、小型水库移民扶助基金收入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十一、国家重大水利工程建设基金收入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十二、车辆通行费</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十三、污水处理费收入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400</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十四、彩票发行机构和彩票销售机构的业务费用</w:t>
            </w:r>
          </w:p>
        </w:tc>
        <w:tc>
          <w:tcPr>
            <w:tcW w:w="1988" w:type="dxa"/>
            <w:gridSpan w:val="2"/>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福利彩票销售机构的业务费用</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体育彩票销售机构的业务费用</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彩票兑奖周转金</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彩票发行销售风险基金</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彩票市场调控资金收入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十五、其他政府性基金收入</w:t>
            </w:r>
          </w:p>
        </w:tc>
        <w:tc>
          <w:tcPr>
            <w:tcW w:w="1988" w:type="dxa"/>
            <w:gridSpan w:val="2"/>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十六、专项债务对应项目专项收入</w:t>
            </w:r>
          </w:p>
        </w:tc>
        <w:tc>
          <w:tcPr>
            <w:tcW w:w="1988" w:type="dxa"/>
            <w:gridSpan w:val="2"/>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海南省高等级公路车辆通行附加费专项债务对应项目专项收入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国家电影事业发展专项资金专项债务对应项目专项收入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国有土地使用权出让金专项债务对应项目专项收入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土地储备专项债券对应项目专项收入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棚户区改造专项债券对应项目专项收入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其他国有土地使用权出让金专项债务对应项目专项收入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农业土地开发资金专项债务对应项目专项收入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大中型水库库区基金专项债务对应项目专项收入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城市基础设施配套费专项债务对应项目专项收入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小型水库移民扶助基金专项债务对应项目专项收入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国家重大水利工程建设基金专项债务对应项目专项收入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车辆通行费专项债务对应项目专项收入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政府收费公路专项债务对应项目专项收入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其他车辆通行费专项债务对应项目专项收入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污水处理费专项债务对应项目专项收入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其他政府性基金专项债务对应项目专项收入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其他地方自行试点项目收益专项债券对应项目专项收入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其他政府性基金专项债务对应项目专项收入</w:t>
            </w: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收入合计</w:t>
            </w:r>
          </w:p>
        </w:tc>
        <w:tc>
          <w:tcPr>
            <w:tcW w:w="1988" w:type="dxa"/>
            <w:gridSpan w:val="2"/>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15,400</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转移性收入</w:t>
            </w:r>
          </w:p>
        </w:tc>
        <w:tc>
          <w:tcPr>
            <w:tcW w:w="1988" w:type="dxa"/>
            <w:gridSpan w:val="2"/>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36,020</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政府性基金补助收入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2,285</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政府性基金上解收入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上年结余收入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33,735</w:t>
            </w: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调入资金</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债务收入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地方政府专项债务收入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地方政府专项债务转贷收入</w:t>
            </w:r>
          </w:p>
        </w:tc>
        <w:tc>
          <w:tcPr>
            <w:tcW w:w="19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c>
          <w:tcPr>
            <w:tcW w:w="19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342" w:hRule="atLeast"/>
        </w:trPr>
        <w:tc>
          <w:tcPr>
            <w:tcW w:w="708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收入总计</w:t>
            </w:r>
          </w:p>
        </w:tc>
        <w:tc>
          <w:tcPr>
            <w:tcW w:w="1988" w:type="dxa"/>
            <w:gridSpan w:val="2"/>
            <w:tcBorders>
              <w:top w:val="nil"/>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51,420</w:t>
            </w:r>
          </w:p>
        </w:tc>
      </w:tr>
    </w:tbl>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tbl>
      <w:tblPr>
        <w:tblStyle w:val="7"/>
        <w:tblW w:w="24912" w:type="dxa"/>
        <w:tblInd w:w="108" w:type="dxa"/>
        <w:tblLayout w:type="autofit"/>
        <w:tblCellMar>
          <w:top w:w="0" w:type="dxa"/>
          <w:left w:w="108" w:type="dxa"/>
          <w:bottom w:w="0" w:type="dxa"/>
          <w:right w:w="108" w:type="dxa"/>
        </w:tblCellMar>
      </w:tblPr>
      <w:tblGrid>
        <w:gridCol w:w="24912"/>
      </w:tblGrid>
      <w:tr>
        <w:tblPrEx>
          <w:tblCellMar>
            <w:top w:w="0" w:type="dxa"/>
            <w:left w:w="108" w:type="dxa"/>
            <w:bottom w:w="0" w:type="dxa"/>
            <w:right w:w="108" w:type="dxa"/>
          </w:tblCellMar>
        </w:tblPrEx>
        <w:trPr>
          <w:trHeight w:val="679" w:hRule="atLeast"/>
        </w:trPr>
        <w:tc>
          <w:tcPr>
            <w:tcW w:w="24912" w:type="dxa"/>
            <w:tcBorders>
              <w:top w:val="nil"/>
              <w:left w:val="nil"/>
              <w:bottom w:val="nil"/>
              <w:right w:val="nil"/>
            </w:tcBorders>
            <w:shd w:val="clear" w:color="000000" w:fill="FFFFFF"/>
            <w:noWrap/>
          </w:tcPr>
          <w:p>
            <w:pPr>
              <w:rPr>
                <w:rFonts w:hint="eastAsia"/>
              </w:rPr>
            </w:pPr>
          </w:p>
          <w:p/>
          <w:tbl>
            <w:tblPr>
              <w:tblStyle w:val="7"/>
              <w:tblW w:w="8396" w:type="dxa"/>
              <w:tblInd w:w="0" w:type="dxa"/>
              <w:tblLayout w:type="autofit"/>
              <w:tblCellMar>
                <w:top w:w="0" w:type="dxa"/>
                <w:left w:w="0" w:type="dxa"/>
                <w:bottom w:w="0" w:type="dxa"/>
                <w:right w:w="0" w:type="dxa"/>
              </w:tblCellMar>
            </w:tblPr>
            <w:tblGrid>
              <w:gridCol w:w="881"/>
              <w:gridCol w:w="1123"/>
              <w:gridCol w:w="713"/>
              <w:gridCol w:w="584"/>
              <w:gridCol w:w="902"/>
              <w:gridCol w:w="839"/>
              <w:gridCol w:w="839"/>
              <w:gridCol w:w="902"/>
              <w:gridCol w:w="713"/>
              <w:gridCol w:w="900"/>
            </w:tblGrid>
            <w:tr>
              <w:tblPrEx>
                <w:tblCellMar>
                  <w:top w:w="0" w:type="dxa"/>
                  <w:left w:w="0" w:type="dxa"/>
                  <w:bottom w:w="0" w:type="dxa"/>
                  <w:right w:w="0" w:type="dxa"/>
                </w:tblCellMar>
              </w:tblPrEx>
              <w:trPr>
                <w:trHeight w:val="679" w:hRule="atLeast"/>
              </w:trPr>
              <w:tc>
                <w:tcPr>
                  <w:tcW w:w="8396" w:type="dxa"/>
                  <w:gridSpan w:val="10"/>
                  <w:tcBorders>
                    <w:top w:val="nil"/>
                    <w:left w:val="nil"/>
                    <w:bottom w:val="nil"/>
                    <w:right w:val="nil"/>
                  </w:tcBorders>
                  <w:shd w:val="clear" w:color="000000" w:fill="FFFFFF"/>
                  <w:noWrap/>
                  <w:vAlign w:val="center"/>
                </w:tcPr>
                <w:p>
                  <w:pPr>
                    <w:jc w:val="center"/>
                    <w:rPr>
                      <w:rFonts w:ascii="黑体" w:hAnsi="黑体" w:eastAsia="黑体" w:cs="宋体"/>
                      <w:b/>
                      <w:bCs/>
                      <w:sz w:val="36"/>
                      <w:szCs w:val="36"/>
                    </w:rPr>
                  </w:pPr>
                  <w:r>
                    <w:rPr>
                      <w:rFonts w:hint="eastAsia" w:ascii="黑体" w:hAnsi="黑体" w:eastAsia="黑体"/>
                      <w:b/>
                      <w:bCs/>
                      <w:sz w:val="36"/>
                      <w:szCs w:val="36"/>
                    </w:rPr>
                    <w:t>2023年市县对下一般公共预算转移支付预算表</w:t>
                  </w:r>
                </w:p>
              </w:tc>
            </w:tr>
            <w:tr>
              <w:tblPrEx>
                <w:tblCellMar>
                  <w:top w:w="0" w:type="dxa"/>
                  <w:left w:w="0" w:type="dxa"/>
                  <w:bottom w:w="0" w:type="dxa"/>
                  <w:right w:w="0" w:type="dxa"/>
                </w:tblCellMar>
              </w:tblPrEx>
              <w:trPr>
                <w:trHeight w:val="342" w:hRule="atLeast"/>
              </w:trPr>
              <w:tc>
                <w:tcPr>
                  <w:tcW w:w="0" w:type="auto"/>
                  <w:tcBorders>
                    <w:top w:val="nil"/>
                    <w:left w:val="nil"/>
                    <w:bottom w:val="nil"/>
                    <w:right w:val="nil"/>
                  </w:tcBorders>
                  <w:shd w:val="clear" w:color="000000" w:fill="FFFFFF"/>
                  <w:noWrap/>
                  <w:vAlign w:val="center"/>
                </w:tcPr>
                <w:p>
                  <w:pPr>
                    <w:jc w:val="right"/>
                    <w:rPr>
                      <w:rFonts w:ascii="宋体" w:hAnsi="宋体" w:eastAsia="宋体" w:cs="宋体"/>
                      <w:sz w:val="22"/>
                      <w:szCs w:val="22"/>
                    </w:rPr>
                  </w:pPr>
                  <w:r>
                    <w:rPr>
                      <w:rFonts w:hint="eastAsia"/>
                      <w:sz w:val="22"/>
                      <w:szCs w:val="22"/>
                    </w:rPr>
                    <w:t>　</w:t>
                  </w:r>
                </w:p>
              </w:tc>
              <w:tc>
                <w:tcPr>
                  <w:tcW w:w="0" w:type="auto"/>
                  <w:tcBorders>
                    <w:top w:val="nil"/>
                    <w:left w:val="nil"/>
                    <w:bottom w:val="single" w:color="auto" w:sz="4" w:space="0"/>
                    <w:right w:val="nil"/>
                  </w:tcBorders>
                  <w:shd w:val="clear" w:color="000000" w:fill="FFFFFF"/>
                  <w:noWrap/>
                  <w:vAlign w:val="center"/>
                </w:tcPr>
                <w:p>
                  <w:pPr>
                    <w:rPr>
                      <w:rFonts w:ascii="黑体" w:hAnsi="黑体" w:eastAsia="黑体" w:cs="宋体"/>
                      <w:b/>
                      <w:bCs/>
                      <w:sz w:val="22"/>
                      <w:szCs w:val="22"/>
                    </w:rPr>
                  </w:pPr>
                  <w:r>
                    <w:rPr>
                      <w:rFonts w:hint="eastAsia" w:ascii="黑体" w:hAnsi="黑体" w:eastAsia="黑体"/>
                      <w:b/>
                      <w:bCs/>
                      <w:sz w:val="22"/>
                      <w:szCs w:val="22"/>
                    </w:rPr>
                    <w:t>　</w:t>
                  </w:r>
                </w:p>
              </w:tc>
              <w:tc>
                <w:tcPr>
                  <w:tcW w:w="0" w:type="auto"/>
                  <w:tcBorders>
                    <w:top w:val="nil"/>
                    <w:left w:val="nil"/>
                    <w:bottom w:val="single" w:color="auto" w:sz="4" w:space="0"/>
                    <w:right w:val="nil"/>
                  </w:tcBorders>
                  <w:shd w:val="clear" w:color="000000" w:fill="FFFFFF"/>
                  <w:noWrap/>
                  <w:vAlign w:val="center"/>
                </w:tcPr>
                <w:p>
                  <w:pPr>
                    <w:rPr>
                      <w:rFonts w:ascii="黑体" w:hAnsi="黑体" w:eastAsia="黑体" w:cs="宋体"/>
                      <w:b/>
                      <w:bCs/>
                      <w:sz w:val="22"/>
                      <w:szCs w:val="22"/>
                    </w:rPr>
                  </w:pPr>
                  <w:r>
                    <w:rPr>
                      <w:rFonts w:hint="eastAsia" w:ascii="黑体" w:hAnsi="黑体" w:eastAsia="黑体"/>
                      <w:b/>
                      <w:bCs/>
                      <w:sz w:val="22"/>
                      <w:szCs w:val="22"/>
                    </w:rPr>
                    <w:t>　</w:t>
                  </w:r>
                </w:p>
              </w:tc>
              <w:tc>
                <w:tcPr>
                  <w:tcW w:w="0" w:type="auto"/>
                  <w:tcBorders>
                    <w:top w:val="nil"/>
                    <w:left w:val="nil"/>
                    <w:bottom w:val="single" w:color="auto" w:sz="4" w:space="0"/>
                    <w:right w:val="nil"/>
                  </w:tcBorders>
                  <w:shd w:val="clear" w:color="000000" w:fill="FFFFFF"/>
                  <w:noWrap/>
                  <w:vAlign w:val="center"/>
                </w:tcPr>
                <w:p>
                  <w:pPr>
                    <w:rPr>
                      <w:rFonts w:ascii="黑体" w:hAnsi="黑体" w:eastAsia="黑体" w:cs="宋体"/>
                      <w:b/>
                      <w:bCs/>
                      <w:sz w:val="22"/>
                      <w:szCs w:val="22"/>
                    </w:rPr>
                  </w:pPr>
                  <w:r>
                    <w:rPr>
                      <w:rFonts w:hint="eastAsia" w:ascii="黑体" w:hAnsi="黑体" w:eastAsia="黑体"/>
                      <w:b/>
                      <w:bCs/>
                      <w:sz w:val="22"/>
                      <w:szCs w:val="22"/>
                    </w:rPr>
                    <w:t>　</w:t>
                  </w:r>
                </w:p>
              </w:tc>
              <w:tc>
                <w:tcPr>
                  <w:tcW w:w="0" w:type="auto"/>
                  <w:tcBorders>
                    <w:top w:val="nil"/>
                    <w:left w:val="nil"/>
                    <w:bottom w:val="single" w:color="auto" w:sz="4" w:space="0"/>
                    <w:right w:val="nil"/>
                  </w:tcBorders>
                  <w:shd w:val="clear" w:color="000000" w:fill="FFFFFF"/>
                  <w:noWrap/>
                  <w:vAlign w:val="center"/>
                </w:tcPr>
                <w:p>
                  <w:pPr>
                    <w:rPr>
                      <w:rFonts w:ascii="黑体" w:hAnsi="黑体" w:eastAsia="黑体" w:cs="宋体"/>
                      <w:b/>
                      <w:bCs/>
                      <w:sz w:val="22"/>
                      <w:szCs w:val="22"/>
                    </w:rPr>
                  </w:pPr>
                  <w:r>
                    <w:rPr>
                      <w:rFonts w:hint="eastAsia" w:ascii="黑体" w:hAnsi="黑体" w:eastAsia="黑体"/>
                      <w:b/>
                      <w:bCs/>
                      <w:sz w:val="22"/>
                      <w:szCs w:val="22"/>
                    </w:rPr>
                    <w:t>　</w:t>
                  </w:r>
                </w:p>
              </w:tc>
              <w:tc>
                <w:tcPr>
                  <w:tcW w:w="0" w:type="auto"/>
                  <w:tcBorders>
                    <w:top w:val="nil"/>
                    <w:left w:val="nil"/>
                    <w:bottom w:val="single" w:color="auto" w:sz="4" w:space="0"/>
                    <w:right w:val="nil"/>
                  </w:tcBorders>
                  <w:shd w:val="clear" w:color="000000" w:fill="FFFFFF"/>
                  <w:noWrap/>
                  <w:vAlign w:val="center"/>
                </w:tcPr>
                <w:p>
                  <w:pPr>
                    <w:rPr>
                      <w:rFonts w:ascii="黑体" w:hAnsi="黑体" w:eastAsia="黑体" w:cs="宋体"/>
                      <w:b/>
                      <w:bCs/>
                      <w:sz w:val="22"/>
                      <w:szCs w:val="22"/>
                    </w:rPr>
                  </w:pPr>
                  <w:r>
                    <w:rPr>
                      <w:rFonts w:hint="eastAsia" w:ascii="黑体" w:hAnsi="黑体" w:eastAsia="黑体"/>
                      <w:b/>
                      <w:bCs/>
                      <w:sz w:val="22"/>
                      <w:szCs w:val="22"/>
                    </w:rPr>
                    <w:t>　</w:t>
                  </w:r>
                </w:p>
              </w:tc>
              <w:tc>
                <w:tcPr>
                  <w:tcW w:w="0" w:type="auto"/>
                  <w:tcBorders>
                    <w:top w:val="nil"/>
                    <w:left w:val="nil"/>
                    <w:bottom w:val="single" w:color="auto" w:sz="4" w:space="0"/>
                    <w:right w:val="nil"/>
                  </w:tcBorders>
                  <w:shd w:val="clear" w:color="000000" w:fill="FFFFFF"/>
                  <w:noWrap/>
                  <w:vAlign w:val="center"/>
                </w:tcPr>
                <w:p>
                  <w:pPr>
                    <w:rPr>
                      <w:rFonts w:ascii="黑体" w:hAnsi="黑体" w:eastAsia="黑体" w:cs="宋体"/>
                      <w:b/>
                      <w:bCs/>
                      <w:sz w:val="22"/>
                      <w:szCs w:val="22"/>
                    </w:rPr>
                  </w:pPr>
                  <w:r>
                    <w:rPr>
                      <w:rFonts w:hint="eastAsia" w:ascii="黑体" w:hAnsi="黑体" w:eastAsia="黑体"/>
                      <w:b/>
                      <w:bCs/>
                      <w:sz w:val="22"/>
                      <w:szCs w:val="22"/>
                    </w:rPr>
                    <w:t>　</w:t>
                  </w:r>
                </w:p>
              </w:tc>
              <w:tc>
                <w:tcPr>
                  <w:tcW w:w="0" w:type="auto"/>
                  <w:tcBorders>
                    <w:top w:val="nil"/>
                    <w:left w:val="nil"/>
                    <w:bottom w:val="single" w:color="auto" w:sz="4" w:space="0"/>
                    <w:right w:val="nil"/>
                  </w:tcBorders>
                  <w:shd w:val="clear" w:color="000000" w:fill="FFFFFF"/>
                  <w:noWrap/>
                  <w:vAlign w:val="center"/>
                </w:tcPr>
                <w:p>
                  <w:pPr>
                    <w:rPr>
                      <w:rFonts w:ascii="黑体" w:hAnsi="黑体" w:eastAsia="黑体" w:cs="宋体"/>
                      <w:b/>
                      <w:bCs/>
                      <w:sz w:val="22"/>
                      <w:szCs w:val="22"/>
                    </w:rPr>
                  </w:pPr>
                  <w:r>
                    <w:rPr>
                      <w:rFonts w:hint="eastAsia" w:ascii="黑体" w:hAnsi="黑体" w:eastAsia="黑体"/>
                      <w:b/>
                      <w:bCs/>
                      <w:sz w:val="22"/>
                      <w:szCs w:val="22"/>
                    </w:rPr>
                    <w:t>　</w:t>
                  </w:r>
                </w:p>
              </w:tc>
              <w:tc>
                <w:tcPr>
                  <w:tcW w:w="0" w:type="auto"/>
                  <w:tcBorders>
                    <w:top w:val="nil"/>
                    <w:left w:val="nil"/>
                    <w:bottom w:val="single" w:color="auto" w:sz="4" w:space="0"/>
                    <w:right w:val="nil"/>
                  </w:tcBorders>
                  <w:shd w:val="clear" w:color="000000" w:fill="FFFFFF"/>
                  <w:noWrap/>
                  <w:vAlign w:val="center"/>
                </w:tcPr>
                <w:p>
                  <w:pPr>
                    <w:rPr>
                      <w:rFonts w:ascii="黑体" w:hAnsi="黑体" w:eastAsia="黑体" w:cs="宋体"/>
                      <w:b/>
                      <w:bCs/>
                      <w:sz w:val="22"/>
                      <w:szCs w:val="22"/>
                    </w:rPr>
                  </w:pPr>
                  <w:r>
                    <w:rPr>
                      <w:rFonts w:hint="eastAsia" w:ascii="黑体" w:hAnsi="黑体" w:eastAsia="黑体"/>
                      <w:b/>
                      <w:bCs/>
                      <w:sz w:val="22"/>
                      <w:szCs w:val="22"/>
                    </w:rPr>
                    <w:t>　</w:t>
                  </w:r>
                </w:p>
              </w:tc>
              <w:tc>
                <w:tcPr>
                  <w:tcW w:w="0" w:type="auto"/>
                  <w:tcBorders>
                    <w:top w:val="nil"/>
                    <w:left w:val="nil"/>
                    <w:bottom w:val="single" w:color="auto" w:sz="4" w:space="0"/>
                    <w:right w:val="nil"/>
                  </w:tcBorders>
                  <w:shd w:val="clear" w:color="000000" w:fill="FFFFFF"/>
                  <w:noWrap/>
                  <w:vAlign w:val="center"/>
                </w:tcPr>
                <w:p>
                  <w:pPr>
                    <w:rPr>
                      <w:rFonts w:ascii="黑体" w:hAnsi="黑体" w:eastAsia="黑体" w:cs="宋体"/>
                      <w:b/>
                      <w:bCs/>
                      <w:sz w:val="22"/>
                      <w:szCs w:val="22"/>
                    </w:rPr>
                  </w:pPr>
                  <w:r>
                    <w:rPr>
                      <w:rFonts w:hint="eastAsia" w:ascii="黑体" w:hAnsi="黑体" w:eastAsia="黑体"/>
                      <w:b/>
                      <w:bCs/>
                      <w:sz w:val="22"/>
                      <w:szCs w:val="22"/>
                    </w:rPr>
                    <w:t>　</w:t>
                  </w:r>
                </w:p>
              </w:tc>
            </w:tr>
            <w:tr>
              <w:tblPrEx>
                <w:tblCellMar>
                  <w:top w:w="0" w:type="dxa"/>
                  <w:left w:w="0" w:type="dxa"/>
                  <w:bottom w:w="0" w:type="dxa"/>
                  <w:right w:w="0" w:type="dxa"/>
                </w:tblCellMar>
              </w:tblPrEx>
              <w:trPr>
                <w:trHeight w:val="630"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jc w:val="center"/>
                    <w:rPr>
                      <w:rFonts w:ascii="宋体" w:hAnsi="宋体" w:eastAsia="宋体" w:cs="宋体"/>
                      <w:b/>
                      <w:bCs/>
                      <w:sz w:val="22"/>
                      <w:szCs w:val="22"/>
                    </w:rPr>
                  </w:pPr>
                  <w:r>
                    <w:rPr>
                      <w:rFonts w:hint="eastAsia"/>
                      <w:b/>
                      <w:bCs/>
                      <w:sz w:val="22"/>
                      <w:szCs w:val="22"/>
                    </w:rPr>
                    <w:t>地区</w:t>
                  </w:r>
                </w:p>
              </w:tc>
              <w:tc>
                <w:tcPr>
                  <w:tcW w:w="7430" w:type="dxa"/>
                  <w:gridSpan w:val="9"/>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bCs/>
                      <w:sz w:val="22"/>
                      <w:szCs w:val="22"/>
                    </w:rPr>
                  </w:pPr>
                  <w:r>
                    <w:rPr>
                      <w:rFonts w:hint="eastAsia"/>
                      <w:b/>
                      <w:bCs/>
                      <w:sz w:val="22"/>
                      <w:szCs w:val="22"/>
                    </w:rPr>
                    <w:t>专项转移支付</w:t>
                  </w:r>
                </w:p>
              </w:tc>
            </w:tr>
            <w:tr>
              <w:tblPrEx>
                <w:tblCellMar>
                  <w:top w:w="0" w:type="dxa"/>
                  <w:left w:w="0" w:type="dxa"/>
                  <w:bottom w:w="0" w:type="dxa"/>
                  <w:right w:w="0" w:type="dxa"/>
                </w:tblCellMar>
              </w:tblPrEx>
              <w:trPr>
                <w:trHeight w:val="145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b/>
                      <w:bCs/>
                      <w:sz w:val="22"/>
                      <w:szCs w:val="22"/>
                    </w:rPr>
                  </w:pPr>
                </w:p>
              </w:tc>
              <w:tc>
                <w:tcPr>
                  <w:tcW w:w="1083"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b/>
                      <w:bCs/>
                      <w:sz w:val="22"/>
                      <w:szCs w:val="22"/>
                    </w:rPr>
                  </w:pPr>
                  <w:r>
                    <w:rPr>
                      <w:rFonts w:hint="eastAsia"/>
                      <w:b/>
                      <w:bCs/>
                      <w:sz w:val="22"/>
                      <w:szCs w:val="22"/>
                    </w:rPr>
                    <w:t>专项转移支付小计</w:t>
                  </w:r>
                </w:p>
              </w:tc>
              <w:tc>
                <w:tcPr>
                  <w:tcW w:w="738" w:type="dxa"/>
                  <w:tcBorders>
                    <w:top w:val="nil"/>
                    <w:left w:val="nil"/>
                    <w:bottom w:val="single" w:color="auto" w:sz="4" w:space="0"/>
                    <w:right w:val="single" w:color="auto" w:sz="4" w:space="0"/>
                  </w:tcBorders>
                  <w:shd w:val="clear" w:color="000000" w:fill="FFFFFF"/>
                  <w:vAlign w:val="center"/>
                </w:tcPr>
                <w:p>
                  <w:pPr>
                    <w:jc w:val="center"/>
                    <w:rPr>
                      <w:rFonts w:hint="eastAsia" w:eastAsiaTheme="minorEastAsia"/>
                      <w:b/>
                      <w:bCs/>
                      <w:sz w:val="22"/>
                      <w:szCs w:val="22"/>
                      <w:lang w:eastAsia="zh-CN"/>
                    </w:rPr>
                  </w:pPr>
                  <w:r>
                    <w:rPr>
                      <w:rFonts w:hint="eastAsia"/>
                      <w:b/>
                      <w:bCs/>
                      <w:sz w:val="22"/>
                      <w:szCs w:val="22"/>
                    </w:rPr>
                    <w:t>科学</w:t>
                  </w:r>
                </w:p>
                <w:p>
                  <w:pPr>
                    <w:jc w:val="center"/>
                    <w:rPr>
                      <w:rFonts w:ascii="宋体" w:hAnsi="宋体" w:eastAsia="宋体" w:cs="宋体"/>
                      <w:b/>
                      <w:bCs/>
                      <w:sz w:val="22"/>
                      <w:szCs w:val="22"/>
                    </w:rPr>
                  </w:pPr>
                  <w:r>
                    <w:rPr>
                      <w:rFonts w:hint="eastAsia"/>
                      <w:b/>
                      <w:bCs/>
                      <w:sz w:val="22"/>
                      <w:szCs w:val="22"/>
                    </w:rPr>
                    <w:t>技术</w:t>
                  </w:r>
                </w:p>
              </w:tc>
              <w:tc>
                <w:tcPr>
                  <w:tcW w:w="65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b/>
                      <w:bCs/>
                      <w:sz w:val="22"/>
                      <w:szCs w:val="22"/>
                    </w:rPr>
                  </w:pPr>
                  <w:r>
                    <w:rPr>
                      <w:rFonts w:hint="eastAsia"/>
                      <w:b/>
                      <w:bCs/>
                      <w:sz w:val="22"/>
                      <w:szCs w:val="22"/>
                    </w:rPr>
                    <w:t>文化旅游体育与传媒</w:t>
                  </w:r>
                </w:p>
              </w:tc>
              <w:tc>
                <w:tcPr>
                  <w:tcW w:w="859" w:type="dxa"/>
                  <w:tcBorders>
                    <w:top w:val="nil"/>
                    <w:left w:val="nil"/>
                    <w:bottom w:val="single" w:color="auto" w:sz="4" w:space="0"/>
                    <w:right w:val="single" w:color="auto" w:sz="4" w:space="0"/>
                  </w:tcBorders>
                  <w:shd w:val="clear" w:color="000000" w:fill="FFFFFF"/>
                  <w:vAlign w:val="center"/>
                </w:tcPr>
                <w:p>
                  <w:pPr>
                    <w:jc w:val="center"/>
                    <w:rPr>
                      <w:rFonts w:hint="eastAsia" w:eastAsiaTheme="minorEastAsia"/>
                      <w:b/>
                      <w:bCs/>
                      <w:sz w:val="22"/>
                      <w:szCs w:val="22"/>
                      <w:lang w:eastAsia="zh-CN"/>
                    </w:rPr>
                  </w:pPr>
                  <w:r>
                    <w:rPr>
                      <w:rFonts w:hint="eastAsia"/>
                      <w:b/>
                      <w:bCs/>
                      <w:sz w:val="22"/>
                      <w:szCs w:val="22"/>
                    </w:rPr>
                    <w:t>卫生</w:t>
                  </w:r>
                </w:p>
                <w:p>
                  <w:pPr>
                    <w:jc w:val="center"/>
                    <w:rPr>
                      <w:rFonts w:ascii="宋体" w:hAnsi="宋体" w:eastAsia="宋体" w:cs="宋体"/>
                      <w:b/>
                      <w:bCs/>
                      <w:sz w:val="22"/>
                      <w:szCs w:val="22"/>
                    </w:rPr>
                  </w:pPr>
                  <w:r>
                    <w:rPr>
                      <w:rFonts w:hint="eastAsia"/>
                      <w:b/>
                      <w:bCs/>
                      <w:sz w:val="22"/>
                      <w:szCs w:val="22"/>
                    </w:rPr>
                    <w:t>健康</w:t>
                  </w:r>
                </w:p>
              </w:tc>
              <w:tc>
                <w:tcPr>
                  <w:tcW w:w="819" w:type="dxa"/>
                  <w:tcBorders>
                    <w:top w:val="nil"/>
                    <w:left w:val="nil"/>
                    <w:bottom w:val="single" w:color="auto" w:sz="4" w:space="0"/>
                    <w:right w:val="single" w:color="auto" w:sz="4" w:space="0"/>
                  </w:tcBorders>
                  <w:shd w:val="clear" w:color="000000" w:fill="FFFFFF"/>
                  <w:vAlign w:val="center"/>
                </w:tcPr>
                <w:p>
                  <w:pPr>
                    <w:jc w:val="center"/>
                    <w:rPr>
                      <w:rFonts w:hint="eastAsia" w:eastAsiaTheme="minorEastAsia"/>
                      <w:b/>
                      <w:bCs/>
                      <w:sz w:val="22"/>
                      <w:szCs w:val="22"/>
                      <w:lang w:eastAsia="zh-CN"/>
                    </w:rPr>
                  </w:pPr>
                  <w:r>
                    <w:rPr>
                      <w:rFonts w:hint="eastAsia"/>
                      <w:b/>
                      <w:bCs/>
                      <w:sz w:val="22"/>
                      <w:szCs w:val="22"/>
                    </w:rPr>
                    <w:t>节能</w:t>
                  </w:r>
                </w:p>
                <w:p>
                  <w:pPr>
                    <w:jc w:val="center"/>
                    <w:rPr>
                      <w:rFonts w:ascii="宋体" w:hAnsi="宋体" w:eastAsia="宋体" w:cs="宋体"/>
                      <w:b/>
                      <w:bCs/>
                      <w:sz w:val="22"/>
                      <w:szCs w:val="22"/>
                    </w:rPr>
                  </w:pPr>
                  <w:r>
                    <w:rPr>
                      <w:rFonts w:hint="eastAsia"/>
                      <w:b/>
                      <w:bCs/>
                      <w:sz w:val="22"/>
                      <w:szCs w:val="22"/>
                    </w:rPr>
                    <w:t>环保</w:t>
                  </w:r>
                </w:p>
              </w:tc>
              <w:tc>
                <w:tcPr>
                  <w:tcW w:w="81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b/>
                      <w:bCs/>
                      <w:sz w:val="22"/>
                      <w:szCs w:val="22"/>
                    </w:rPr>
                  </w:pPr>
                  <w:r>
                    <w:rPr>
                      <w:rFonts w:hint="eastAsia"/>
                      <w:b/>
                      <w:bCs/>
                      <w:sz w:val="22"/>
                      <w:szCs w:val="22"/>
                    </w:rPr>
                    <w:t>农林水</w:t>
                  </w:r>
                </w:p>
              </w:tc>
              <w:tc>
                <w:tcPr>
                  <w:tcW w:w="85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b/>
                      <w:bCs/>
                      <w:sz w:val="22"/>
                      <w:szCs w:val="22"/>
                    </w:rPr>
                  </w:pPr>
                  <w:r>
                    <w:rPr>
                      <w:rFonts w:hint="eastAsia"/>
                      <w:b/>
                      <w:bCs/>
                      <w:sz w:val="22"/>
                      <w:szCs w:val="22"/>
                    </w:rPr>
                    <w:t>资源勘探信息等</w:t>
                  </w:r>
                </w:p>
              </w:tc>
              <w:tc>
                <w:tcPr>
                  <w:tcW w:w="73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b/>
                      <w:bCs/>
                      <w:sz w:val="22"/>
                      <w:szCs w:val="22"/>
                    </w:rPr>
                  </w:pPr>
                  <w:r>
                    <w:rPr>
                      <w:rFonts w:hint="eastAsia"/>
                      <w:b/>
                      <w:bCs/>
                      <w:sz w:val="22"/>
                      <w:szCs w:val="22"/>
                    </w:rPr>
                    <w:t>商业服务业等</w:t>
                  </w:r>
                </w:p>
              </w:tc>
              <w:tc>
                <w:tcPr>
                  <w:tcW w:w="85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b/>
                      <w:bCs/>
                      <w:sz w:val="22"/>
                      <w:szCs w:val="22"/>
                    </w:rPr>
                  </w:pPr>
                  <w:r>
                    <w:rPr>
                      <w:rFonts w:hint="eastAsia"/>
                      <w:b/>
                      <w:bCs/>
                      <w:sz w:val="22"/>
                      <w:szCs w:val="22"/>
                    </w:rPr>
                    <w:t>自然资源海洋气象</w:t>
                  </w:r>
                </w:p>
              </w:tc>
            </w:tr>
            <w:tr>
              <w:tblPrEx>
                <w:tblCellMar>
                  <w:top w:w="0" w:type="dxa"/>
                  <w:left w:w="0" w:type="dxa"/>
                  <w:bottom w:w="0" w:type="dxa"/>
                  <w:right w:w="0"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2"/>
                      <w:szCs w:val="22"/>
                    </w:rPr>
                  </w:pPr>
                  <w:r>
                    <w:rPr>
                      <w:rFonts w:hint="eastAsia"/>
                      <w:sz w:val="22"/>
                      <w:szCs w:val="22"/>
                    </w:rPr>
                    <w:t>大安市</w:t>
                  </w:r>
                </w:p>
              </w:tc>
              <w:tc>
                <w:tcPr>
                  <w:tcW w:w="0" w:type="auto"/>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2"/>
                      <w:szCs w:val="22"/>
                    </w:rPr>
                  </w:pPr>
                  <w:r>
                    <w:rPr>
                      <w:rFonts w:hint="eastAsia"/>
                      <w:sz w:val="22"/>
                      <w:szCs w:val="22"/>
                    </w:rPr>
                    <w:t>7896.2</w:t>
                  </w:r>
                </w:p>
              </w:tc>
              <w:tc>
                <w:tcPr>
                  <w:tcW w:w="0" w:type="auto"/>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2"/>
                      <w:szCs w:val="22"/>
                    </w:rPr>
                  </w:pPr>
                  <w:r>
                    <w:rPr>
                      <w:rFonts w:hint="eastAsia"/>
                      <w:sz w:val="22"/>
                      <w:szCs w:val="22"/>
                    </w:rPr>
                    <w:t>167</w:t>
                  </w:r>
                </w:p>
              </w:tc>
              <w:tc>
                <w:tcPr>
                  <w:tcW w:w="0" w:type="auto"/>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2"/>
                      <w:szCs w:val="22"/>
                    </w:rPr>
                  </w:pPr>
                  <w:r>
                    <w:rPr>
                      <w:rFonts w:hint="eastAsia"/>
                      <w:sz w:val="22"/>
                      <w:szCs w:val="22"/>
                    </w:rPr>
                    <w:t>6</w:t>
                  </w:r>
                </w:p>
              </w:tc>
              <w:tc>
                <w:tcPr>
                  <w:tcW w:w="0" w:type="auto"/>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2"/>
                      <w:szCs w:val="22"/>
                    </w:rPr>
                  </w:pPr>
                  <w:r>
                    <w:rPr>
                      <w:rFonts w:hint="eastAsia"/>
                      <w:sz w:val="22"/>
                      <w:szCs w:val="22"/>
                    </w:rPr>
                    <w:t>103.1</w:t>
                  </w:r>
                </w:p>
              </w:tc>
              <w:tc>
                <w:tcPr>
                  <w:tcW w:w="0" w:type="auto"/>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2"/>
                      <w:szCs w:val="22"/>
                    </w:rPr>
                  </w:pPr>
                  <w:r>
                    <w:rPr>
                      <w:rFonts w:hint="eastAsia"/>
                      <w:sz w:val="22"/>
                      <w:szCs w:val="22"/>
                    </w:rPr>
                    <w:t>5332</w:t>
                  </w:r>
                </w:p>
              </w:tc>
              <w:tc>
                <w:tcPr>
                  <w:tcW w:w="0" w:type="auto"/>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2"/>
                      <w:szCs w:val="22"/>
                    </w:rPr>
                  </w:pPr>
                  <w:r>
                    <w:rPr>
                      <w:rFonts w:hint="eastAsia"/>
                      <w:sz w:val="22"/>
                      <w:szCs w:val="22"/>
                    </w:rPr>
                    <w:t>1969</w:t>
                  </w:r>
                </w:p>
              </w:tc>
              <w:tc>
                <w:tcPr>
                  <w:tcW w:w="0" w:type="auto"/>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2"/>
                      <w:szCs w:val="22"/>
                    </w:rPr>
                  </w:pPr>
                  <w:r>
                    <w:rPr>
                      <w:rFonts w:hint="eastAsia"/>
                      <w:sz w:val="22"/>
                      <w:szCs w:val="22"/>
                    </w:rPr>
                    <w:t>14.48</w:t>
                  </w:r>
                </w:p>
              </w:tc>
              <w:tc>
                <w:tcPr>
                  <w:tcW w:w="0" w:type="auto"/>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2"/>
                      <w:szCs w:val="22"/>
                    </w:rPr>
                  </w:pPr>
                  <w:r>
                    <w:rPr>
                      <w:rFonts w:hint="eastAsia"/>
                      <w:sz w:val="22"/>
                      <w:szCs w:val="22"/>
                    </w:rPr>
                    <w:t>127</w:t>
                  </w:r>
                </w:p>
              </w:tc>
              <w:tc>
                <w:tcPr>
                  <w:tcW w:w="0" w:type="auto"/>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sz w:val="22"/>
                      <w:szCs w:val="22"/>
                    </w:rPr>
                  </w:pPr>
                  <w:r>
                    <w:rPr>
                      <w:rFonts w:hint="eastAsia"/>
                      <w:sz w:val="22"/>
                      <w:szCs w:val="22"/>
                    </w:rPr>
                    <w:t>178.1</w:t>
                  </w:r>
                </w:p>
              </w:tc>
            </w:tr>
          </w:tbl>
          <w:p/>
        </w:tc>
      </w:tr>
    </w:tbl>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tbl>
      <w:tblPr>
        <w:tblStyle w:val="7"/>
        <w:tblW w:w="8778" w:type="dxa"/>
        <w:tblInd w:w="108" w:type="dxa"/>
        <w:tblLayout w:type="autofit"/>
        <w:tblCellMar>
          <w:top w:w="0" w:type="dxa"/>
          <w:left w:w="108" w:type="dxa"/>
          <w:bottom w:w="0" w:type="dxa"/>
          <w:right w:w="108" w:type="dxa"/>
        </w:tblCellMar>
      </w:tblPr>
      <w:tblGrid>
        <w:gridCol w:w="613"/>
        <w:gridCol w:w="1213"/>
        <w:gridCol w:w="1213"/>
        <w:gridCol w:w="1213"/>
        <w:gridCol w:w="1213"/>
        <w:gridCol w:w="1569"/>
        <w:gridCol w:w="1744"/>
      </w:tblGrid>
      <w:tr>
        <w:tblPrEx>
          <w:tblCellMar>
            <w:top w:w="0" w:type="dxa"/>
            <w:left w:w="108" w:type="dxa"/>
            <w:bottom w:w="0" w:type="dxa"/>
            <w:right w:w="108" w:type="dxa"/>
          </w:tblCellMar>
        </w:tblPrEx>
        <w:trPr>
          <w:trHeight w:val="585" w:hRule="atLeast"/>
        </w:trPr>
        <w:tc>
          <w:tcPr>
            <w:tcW w:w="8778" w:type="dxa"/>
            <w:gridSpan w:val="7"/>
            <w:tcBorders>
              <w:top w:val="nil"/>
              <w:left w:val="nil"/>
              <w:bottom w:val="nil"/>
              <w:right w:val="nil"/>
            </w:tcBorders>
            <w:shd w:val="clear" w:color="auto" w:fill="auto"/>
            <w:noWrap/>
            <w:vAlign w:val="center"/>
          </w:tcPr>
          <w:p>
            <w:pPr>
              <w:widowControl/>
              <w:jc w:val="center"/>
              <w:rPr>
                <w:rFonts w:hint="eastAsia" w:ascii="宋体" w:hAnsi="宋体" w:eastAsia="宋体" w:cs="宋体"/>
                <w:b/>
                <w:kern w:val="0"/>
                <w:sz w:val="32"/>
              </w:rPr>
            </w:pPr>
            <w:r>
              <w:rPr>
                <w:rFonts w:hint="eastAsia" w:ascii="宋体" w:hAnsi="宋体" w:eastAsia="宋体" w:cs="宋体"/>
                <w:b/>
                <w:kern w:val="0"/>
                <w:sz w:val="32"/>
              </w:rPr>
              <w:t>2022年政府专项债务限额和余额表</w:t>
            </w:r>
          </w:p>
          <w:p>
            <w:pPr>
              <w:widowControl/>
              <w:rPr>
                <w:rFonts w:ascii="宋体" w:hAnsi="宋体" w:eastAsia="宋体" w:cs="宋体"/>
                <w:b/>
                <w:kern w:val="0"/>
                <w:sz w:val="24"/>
              </w:rPr>
            </w:pPr>
          </w:p>
        </w:tc>
      </w:tr>
      <w:tr>
        <w:tblPrEx>
          <w:tblCellMar>
            <w:top w:w="0" w:type="dxa"/>
            <w:left w:w="108" w:type="dxa"/>
            <w:bottom w:w="0" w:type="dxa"/>
            <w:right w:w="108" w:type="dxa"/>
          </w:tblCellMar>
        </w:tblPrEx>
        <w:trPr>
          <w:trHeight w:val="285" w:hRule="atLeast"/>
        </w:trPr>
        <w:tc>
          <w:tcPr>
            <w:tcW w:w="613"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213"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213"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213"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213"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569"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1744"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810" w:hRule="atLeast"/>
        </w:trPr>
        <w:tc>
          <w:tcPr>
            <w:tcW w:w="6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地区</w:t>
            </w:r>
          </w:p>
        </w:tc>
        <w:tc>
          <w:tcPr>
            <w:tcW w:w="485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债务余额</w:t>
            </w:r>
          </w:p>
        </w:tc>
        <w:tc>
          <w:tcPr>
            <w:tcW w:w="33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政府债务限额</w:t>
            </w:r>
          </w:p>
        </w:tc>
      </w:tr>
      <w:tr>
        <w:tblPrEx>
          <w:tblCellMar>
            <w:top w:w="0" w:type="dxa"/>
            <w:left w:w="108" w:type="dxa"/>
            <w:bottom w:w="0" w:type="dxa"/>
            <w:right w:w="108" w:type="dxa"/>
          </w:tblCellMar>
        </w:tblPrEx>
        <w:trPr>
          <w:trHeight w:val="810" w:hRule="atLeast"/>
        </w:trPr>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485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专项债务</w:t>
            </w:r>
          </w:p>
        </w:tc>
        <w:tc>
          <w:tcPr>
            <w:tcW w:w="1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2022年政务债务限额</w:t>
            </w:r>
          </w:p>
        </w:tc>
        <w:tc>
          <w:tcPr>
            <w:tcW w:w="1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2022年新增政府债务限额</w:t>
            </w:r>
          </w:p>
        </w:tc>
      </w:tr>
      <w:tr>
        <w:tblPrEx>
          <w:tblCellMar>
            <w:top w:w="0" w:type="dxa"/>
            <w:left w:w="108" w:type="dxa"/>
            <w:bottom w:w="0" w:type="dxa"/>
            <w:right w:w="108" w:type="dxa"/>
          </w:tblCellMar>
        </w:tblPrEx>
        <w:trPr>
          <w:trHeight w:val="810" w:hRule="atLeast"/>
        </w:trPr>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期初余额</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当年新增</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当期减少</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期末余额</w:t>
            </w:r>
          </w:p>
        </w:tc>
        <w:tc>
          <w:tcPr>
            <w:tcW w:w="15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专项债务</w:t>
            </w:r>
          </w:p>
        </w:tc>
        <w:tc>
          <w:tcPr>
            <w:tcW w:w="1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专项债务</w:t>
            </w:r>
          </w:p>
        </w:tc>
      </w:tr>
      <w:tr>
        <w:tblPrEx>
          <w:tblCellMar>
            <w:top w:w="0" w:type="dxa"/>
            <w:left w:w="108" w:type="dxa"/>
            <w:bottom w:w="0" w:type="dxa"/>
            <w:right w:w="108" w:type="dxa"/>
          </w:tblCellMar>
        </w:tblPrEx>
        <w:trPr>
          <w:trHeight w:val="810" w:hRule="atLeast"/>
        </w:trPr>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105876</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97000</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10696</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192180</w:t>
            </w:r>
          </w:p>
        </w:tc>
        <w:tc>
          <w:tcPr>
            <w:tcW w:w="15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195933.2</w:t>
            </w:r>
          </w:p>
        </w:tc>
        <w:tc>
          <w:tcPr>
            <w:tcW w:w="1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87000</w:t>
            </w:r>
          </w:p>
        </w:tc>
      </w:tr>
    </w:tbl>
    <w:p>
      <w:pPr>
        <w:rPr>
          <w:rFonts w:ascii="方正大标宋简体" w:hAnsi="方正大标宋简体" w:eastAsia="方正大标宋简体" w:cs="方正大标宋简体"/>
          <w:bCs/>
          <w:sz w:val="44"/>
          <w:szCs w:val="44"/>
          <w:shd w:val="clear" w:color="auto" w:fill="FFFFFF"/>
        </w:rPr>
      </w:pPr>
    </w:p>
    <w:p>
      <w:pPr>
        <w:rPr>
          <w:rFonts w:ascii="方正大标宋简体" w:hAnsi="方正大标宋简体" w:eastAsia="方正大标宋简体" w:cs="方正大标宋简体"/>
          <w:bCs/>
          <w:sz w:val="44"/>
          <w:szCs w:val="44"/>
          <w:shd w:val="clear" w:color="auto" w:fill="FFFFFF"/>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p>
    <w:p>
      <w:pPr>
        <w:spacing w:line="540" w:lineRule="exact"/>
        <w:jc w:val="center"/>
        <w:rPr>
          <w:rFonts w:ascii="黑体" w:hAnsi="黑体" w:eastAsia="黑体"/>
          <w:sz w:val="44"/>
          <w:szCs w:val="44"/>
        </w:rPr>
      </w:pPr>
      <w:r>
        <w:rPr>
          <w:rFonts w:hint="eastAsia" w:ascii="黑体" w:hAnsi="黑体" w:eastAsia="黑体"/>
          <w:sz w:val="44"/>
          <w:szCs w:val="44"/>
        </w:rPr>
        <w:t>第四部分 国有资本经营预算</w:t>
      </w:r>
    </w:p>
    <w:p>
      <w:pPr>
        <w:spacing w:line="540" w:lineRule="exact"/>
        <w:jc w:val="left"/>
        <w:rPr>
          <w:rFonts w:ascii="方正大标宋简体" w:hAnsi="方正大标宋简体" w:eastAsia="方正大标宋简体" w:cs="方正大标宋简体"/>
          <w:bCs/>
          <w:sz w:val="44"/>
          <w:szCs w:val="44"/>
          <w:shd w:val="clear" w:color="auto" w:fill="FFFFFF"/>
        </w:rPr>
      </w:pPr>
    </w:p>
    <w:tbl>
      <w:tblPr>
        <w:tblStyle w:val="7"/>
        <w:tblW w:w="8978" w:type="dxa"/>
        <w:tblInd w:w="0" w:type="dxa"/>
        <w:tblLayout w:type="autofit"/>
        <w:tblCellMar>
          <w:top w:w="0" w:type="dxa"/>
          <w:left w:w="108" w:type="dxa"/>
          <w:bottom w:w="0" w:type="dxa"/>
          <w:right w:w="108" w:type="dxa"/>
        </w:tblCellMar>
      </w:tblPr>
      <w:tblGrid>
        <w:gridCol w:w="2268"/>
        <w:gridCol w:w="851"/>
        <w:gridCol w:w="992"/>
        <w:gridCol w:w="851"/>
        <w:gridCol w:w="850"/>
        <w:gridCol w:w="851"/>
        <w:gridCol w:w="898"/>
        <w:gridCol w:w="1417"/>
      </w:tblGrid>
      <w:tr>
        <w:tblPrEx>
          <w:tblCellMar>
            <w:top w:w="0" w:type="dxa"/>
            <w:left w:w="108" w:type="dxa"/>
            <w:bottom w:w="0" w:type="dxa"/>
            <w:right w:w="108" w:type="dxa"/>
          </w:tblCellMar>
        </w:tblPrEx>
        <w:trPr>
          <w:trHeight w:val="600" w:hRule="atLeast"/>
        </w:trPr>
        <w:tc>
          <w:tcPr>
            <w:tcW w:w="8978" w:type="dxa"/>
            <w:gridSpan w:val="8"/>
            <w:tcBorders>
              <w:top w:val="nil"/>
              <w:left w:val="nil"/>
              <w:bottom w:val="nil"/>
              <w:right w:val="nil"/>
            </w:tcBorders>
            <w:shd w:val="clear" w:color="000000" w:fill="FFFFFF"/>
            <w:noWrap/>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2023年国有资本经营预算收支表</w:t>
            </w:r>
          </w:p>
        </w:tc>
      </w:tr>
      <w:tr>
        <w:tblPrEx>
          <w:tblCellMar>
            <w:top w:w="0" w:type="dxa"/>
            <w:left w:w="108" w:type="dxa"/>
            <w:bottom w:w="0" w:type="dxa"/>
            <w:right w:w="108" w:type="dxa"/>
          </w:tblCellMar>
        </w:tblPrEx>
        <w:trPr>
          <w:trHeight w:val="420" w:hRule="atLeast"/>
        </w:trPr>
        <w:tc>
          <w:tcPr>
            <w:tcW w:w="8978" w:type="dxa"/>
            <w:gridSpan w:val="8"/>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单位：万元</w:t>
            </w:r>
          </w:p>
        </w:tc>
      </w:tr>
      <w:tr>
        <w:tblPrEx>
          <w:tblCellMar>
            <w:top w:w="0" w:type="dxa"/>
            <w:left w:w="108" w:type="dxa"/>
            <w:bottom w:w="0" w:type="dxa"/>
            <w:right w:w="108" w:type="dxa"/>
          </w:tblCellMar>
        </w:tblPrEx>
        <w:trPr>
          <w:trHeight w:val="413" w:hRule="atLeast"/>
        </w:trPr>
        <w:tc>
          <w:tcPr>
            <w:tcW w:w="8978"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收          入</w:t>
            </w:r>
          </w:p>
        </w:tc>
      </w:tr>
      <w:tr>
        <w:tblPrEx>
          <w:tblCellMar>
            <w:top w:w="0" w:type="dxa"/>
            <w:left w:w="108" w:type="dxa"/>
            <w:bottom w:w="0" w:type="dxa"/>
            <w:right w:w="108" w:type="dxa"/>
          </w:tblCellMar>
        </w:tblPrEx>
        <w:trPr>
          <w:trHeight w:val="413" w:hRule="atLeast"/>
        </w:trPr>
        <w:tc>
          <w:tcPr>
            <w:tcW w:w="2268"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        目</w:t>
            </w:r>
          </w:p>
        </w:tc>
        <w:tc>
          <w:tcPr>
            <w:tcW w:w="85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行次</w:t>
            </w:r>
          </w:p>
        </w:tc>
        <w:tc>
          <w:tcPr>
            <w:tcW w:w="2693"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执行数</w:t>
            </w:r>
          </w:p>
        </w:tc>
        <w:tc>
          <w:tcPr>
            <w:tcW w:w="3166"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预算数</w:t>
            </w:r>
          </w:p>
        </w:tc>
      </w:tr>
      <w:tr>
        <w:tblPrEx>
          <w:tblCellMar>
            <w:top w:w="0" w:type="dxa"/>
            <w:left w:w="108" w:type="dxa"/>
            <w:bottom w:w="0" w:type="dxa"/>
            <w:right w:w="108" w:type="dxa"/>
          </w:tblCellMar>
        </w:tblPrEx>
        <w:trPr>
          <w:trHeight w:val="848" w:hRule="atLeast"/>
        </w:trPr>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8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一、利润收入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二、股利、股息收入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三、产权转让收入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四、清算收入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五、其他国有资本经营预算收入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国有资本经营预算转移支付收入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国有资本经营预算上解收入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国有资本经营预算上年结余收入</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226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 入 总 计</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9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spacing w:line="540" w:lineRule="exact"/>
        <w:rPr>
          <w:rFonts w:ascii="黑体" w:hAnsi="黑体" w:eastAsia="黑体"/>
          <w:sz w:val="44"/>
          <w:szCs w:val="44"/>
        </w:rPr>
      </w:pPr>
    </w:p>
    <w:tbl>
      <w:tblPr>
        <w:tblStyle w:val="7"/>
        <w:tblW w:w="10082" w:type="dxa"/>
        <w:tblInd w:w="-613" w:type="dxa"/>
        <w:tblLayout w:type="autofit"/>
        <w:tblCellMar>
          <w:top w:w="0" w:type="dxa"/>
          <w:left w:w="108" w:type="dxa"/>
          <w:bottom w:w="0" w:type="dxa"/>
          <w:right w:w="108" w:type="dxa"/>
        </w:tblCellMar>
      </w:tblPr>
      <w:tblGrid>
        <w:gridCol w:w="863"/>
        <w:gridCol w:w="2413"/>
        <w:gridCol w:w="567"/>
        <w:gridCol w:w="438"/>
        <w:gridCol w:w="979"/>
        <w:gridCol w:w="438"/>
        <w:gridCol w:w="980"/>
        <w:gridCol w:w="438"/>
        <w:gridCol w:w="979"/>
        <w:gridCol w:w="438"/>
        <w:gridCol w:w="696"/>
        <w:gridCol w:w="853"/>
      </w:tblGrid>
      <w:tr>
        <w:tblPrEx>
          <w:tblCellMar>
            <w:top w:w="0" w:type="dxa"/>
            <w:left w:w="108" w:type="dxa"/>
            <w:bottom w:w="0" w:type="dxa"/>
            <w:right w:w="108" w:type="dxa"/>
          </w:tblCellMar>
        </w:tblPrEx>
        <w:trPr>
          <w:trHeight w:val="900" w:hRule="atLeast"/>
        </w:trPr>
        <w:tc>
          <w:tcPr>
            <w:tcW w:w="10082" w:type="dxa"/>
            <w:gridSpan w:val="12"/>
            <w:tcBorders>
              <w:top w:val="nil"/>
              <w:left w:val="nil"/>
              <w:bottom w:val="nil"/>
              <w:right w:val="nil"/>
            </w:tcBorders>
            <w:shd w:val="clear" w:color="000000" w:fill="FFFFFF"/>
            <w:noWrap/>
            <w:vAlign w:val="center"/>
          </w:tcPr>
          <w:p>
            <w:pPr>
              <w:widowControl/>
              <w:jc w:val="center"/>
              <w:rPr>
                <w:rFonts w:hint="eastAsia" w:ascii="黑体" w:hAnsi="黑体" w:eastAsia="黑体" w:cs="宋体"/>
                <w:b/>
                <w:bCs/>
                <w:kern w:val="0"/>
                <w:sz w:val="36"/>
                <w:szCs w:val="36"/>
              </w:rPr>
            </w:pPr>
          </w:p>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2023年国有资本经营预算支出表</w:t>
            </w:r>
          </w:p>
        </w:tc>
      </w:tr>
      <w:tr>
        <w:tblPrEx>
          <w:tblCellMar>
            <w:top w:w="0" w:type="dxa"/>
            <w:left w:w="108" w:type="dxa"/>
            <w:bottom w:w="0" w:type="dxa"/>
            <w:right w:w="108" w:type="dxa"/>
          </w:tblCellMar>
        </w:tblPrEx>
        <w:trPr>
          <w:trHeight w:val="420" w:hRule="atLeast"/>
        </w:trPr>
        <w:tc>
          <w:tcPr>
            <w:tcW w:w="10082" w:type="dxa"/>
            <w:gridSpan w:val="12"/>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单位：万元</w:t>
            </w:r>
          </w:p>
        </w:tc>
      </w:tr>
      <w:tr>
        <w:tblPrEx>
          <w:tblCellMar>
            <w:top w:w="0" w:type="dxa"/>
            <w:left w:w="108" w:type="dxa"/>
            <w:bottom w:w="0" w:type="dxa"/>
            <w:right w:w="108" w:type="dxa"/>
          </w:tblCellMar>
        </w:tblPrEx>
        <w:trPr>
          <w:trHeight w:val="825" w:hRule="atLeast"/>
        </w:trPr>
        <w:tc>
          <w:tcPr>
            <w:tcW w:w="86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科目编码</w:t>
            </w:r>
          </w:p>
        </w:tc>
        <w:tc>
          <w:tcPr>
            <w:tcW w:w="24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科目名称</w:t>
            </w:r>
          </w:p>
        </w:tc>
        <w:tc>
          <w:tcPr>
            <w:tcW w:w="5953"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2023年预算数</w:t>
            </w:r>
          </w:p>
        </w:tc>
        <w:tc>
          <w:tcPr>
            <w:tcW w:w="8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预算数为执行数的%</w:t>
            </w:r>
          </w:p>
        </w:tc>
      </w:tr>
      <w:tr>
        <w:tblPrEx>
          <w:tblCellMar>
            <w:top w:w="0" w:type="dxa"/>
            <w:left w:w="108" w:type="dxa"/>
            <w:bottom w:w="0" w:type="dxa"/>
            <w:right w:w="108" w:type="dxa"/>
          </w:tblCellMar>
        </w:tblPrEx>
        <w:trPr>
          <w:trHeight w:val="825" w:hRule="atLeast"/>
        </w:trPr>
        <w:tc>
          <w:tcPr>
            <w:tcW w:w="86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6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141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小计</w:t>
            </w:r>
          </w:p>
        </w:tc>
        <w:tc>
          <w:tcPr>
            <w:tcW w:w="141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资本性支出</w:t>
            </w:r>
          </w:p>
        </w:tc>
        <w:tc>
          <w:tcPr>
            <w:tcW w:w="141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费用性支出 </w:t>
            </w:r>
          </w:p>
        </w:tc>
        <w:tc>
          <w:tcPr>
            <w:tcW w:w="113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其他支出</w:t>
            </w: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825" w:hRule="atLeast"/>
        </w:trPr>
        <w:tc>
          <w:tcPr>
            <w:tcW w:w="86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9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9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省本级</w:t>
            </w:r>
          </w:p>
        </w:tc>
        <w:tc>
          <w:tcPr>
            <w:tcW w:w="6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地市级及以下</w:t>
            </w: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825" w:hRule="atLeast"/>
        </w:trPr>
        <w:tc>
          <w:tcPr>
            <w:tcW w:w="86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4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栏次</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10</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11</w:t>
            </w:r>
          </w:p>
        </w:tc>
        <w:tc>
          <w:tcPr>
            <w:tcW w:w="9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12</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13</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14</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15</w:t>
            </w:r>
          </w:p>
        </w:tc>
        <w:tc>
          <w:tcPr>
            <w:tcW w:w="9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16</w:t>
            </w:r>
          </w:p>
        </w:tc>
        <w:tc>
          <w:tcPr>
            <w:tcW w:w="4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17</w:t>
            </w:r>
          </w:p>
        </w:tc>
        <w:tc>
          <w:tcPr>
            <w:tcW w:w="6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18</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19</w:t>
            </w:r>
          </w:p>
        </w:tc>
      </w:tr>
      <w:tr>
        <w:tblPrEx>
          <w:tblCellMar>
            <w:top w:w="0" w:type="dxa"/>
            <w:left w:w="108" w:type="dxa"/>
            <w:bottom w:w="0" w:type="dxa"/>
            <w:right w:w="108" w:type="dxa"/>
          </w:tblCellMar>
        </w:tblPrEx>
        <w:trPr>
          <w:trHeight w:val="825" w:hRule="atLeast"/>
        </w:trPr>
        <w:tc>
          <w:tcPr>
            <w:tcW w:w="86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1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一、国有资本经营预算支出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863"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41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支出合计</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国有资本经营预算转移支付支出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国有资本经营预算上解支出</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国有资本经营预算调出资金</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25" w:hRule="atLeast"/>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国有资本经营预算年终结余</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79"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spacing w:line="540" w:lineRule="exact"/>
        <w:rPr>
          <w:rFonts w:ascii="黑体" w:hAnsi="黑体" w:eastAsia="黑体"/>
          <w:sz w:val="32"/>
          <w:szCs w:val="44"/>
        </w:rPr>
      </w:pPr>
    </w:p>
    <w:p>
      <w:pPr>
        <w:spacing w:line="540" w:lineRule="exact"/>
        <w:rPr>
          <w:rFonts w:ascii="黑体" w:hAnsi="黑体" w:eastAsia="黑体"/>
          <w:sz w:val="44"/>
          <w:szCs w:val="44"/>
        </w:rPr>
      </w:pPr>
      <w:r>
        <w:rPr>
          <w:rFonts w:hint="eastAsia" w:ascii="黑体" w:hAnsi="黑体" w:eastAsia="黑体"/>
          <w:sz w:val="44"/>
          <w:szCs w:val="44"/>
        </w:rPr>
        <w:t xml:space="preserve">        </w:t>
      </w:r>
    </w:p>
    <w:p>
      <w:pPr>
        <w:spacing w:line="540" w:lineRule="exact"/>
        <w:rPr>
          <w:rFonts w:hint="eastAsia" w:ascii="黑体" w:hAnsi="黑体" w:eastAsia="黑体"/>
          <w:sz w:val="44"/>
          <w:szCs w:val="44"/>
        </w:rPr>
      </w:pPr>
    </w:p>
    <w:p>
      <w:pPr>
        <w:spacing w:line="540" w:lineRule="exact"/>
        <w:rPr>
          <w:rFonts w:hint="eastAsia" w:ascii="黑体" w:hAnsi="黑体" w:eastAsia="黑体"/>
          <w:sz w:val="44"/>
          <w:szCs w:val="44"/>
        </w:rPr>
      </w:pPr>
    </w:p>
    <w:p>
      <w:pPr>
        <w:spacing w:line="540" w:lineRule="exact"/>
        <w:rPr>
          <w:rFonts w:hint="eastAsia" w:ascii="黑体" w:hAnsi="黑体" w:eastAsia="黑体"/>
          <w:sz w:val="44"/>
          <w:szCs w:val="44"/>
        </w:rPr>
      </w:pPr>
    </w:p>
    <w:p>
      <w:pPr>
        <w:spacing w:line="540" w:lineRule="exact"/>
        <w:rPr>
          <w:rFonts w:ascii="黑体" w:hAnsi="黑体" w:eastAsia="黑体"/>
          <w:sz w:val="44"/>
          <w:szCs w:val="44"/>
        </w:rPr>
      </w:pPr>
    </w:p>
    <w:p>
      <w:pPr>
        <w:spacing w:line="540" w:lineRule="exact"/>
        <w:jc w:val="center"/>
        <w:rPr>
          <w:rFonts w:ascii="方正大标宋简体" w:hAnsi="方正大标宋简体" w:eastAsia="方正大标宋简体" w:cs="方正大标宋简体"/>
          <w:bCs/>
          <w:sz w:val="44"/>
          <w:szCs w:val="44"/>
          <w:shd w:val="clear" w:color="auto" w:fill="FFFFFF"/>
        </w:rPr>
      </w:pPr>
      <w:r>
        <w:rPr>
          <w:rFonts w:hint="eastAsia" w:ascii="黑体" w:hAnsi="黑体" w:eastAsia="黑体"/>
          <w:sz w:val="44"/>
          <w:szCs w:val="44"/>
        </w:rPr>
        <w:t>第五部分 社会保险基金预算</w:t>
      </w:r>
    </w:p>
    <w:tbl>
      <w:tblPr>
        <w:tblStyle w:val="7"/>
        <w:tblW w:w="5066" w:type="pct"/>
        <w:tblInd w:w="0" w:type="dxa"/>
        <w:tblLayout w:type="fixed"/>
        <w:tblCellMar>
          <w:top w:w="0" w:type="dxa"/>
          <w:left w:w="108" w:type="dxa"/>
          <w:bottom w:w="0" w:type="dxa"/>
          <w:right w:w="108" w:type="dxa"/>
        </w:tblCellMar>
      </w:tblPr>
      <w:tblGrid>
        <w:gridCol w:w="2658"/>
        <w:gridCol w:w="1134"/>
        <w:gridCol w:w="850"/>
        <w:gridCol w:w="995"/>
        <w:gridCol w:w="990"/>
        <w:gridCol w:w="852"/>
        <w:gridCol w:w="709"/>
        <w:gridCol w:w="507"/>
        <w:gridCol w:w="485"/>
      </w:tblGrid>
      <w:tr>
        <w:tblPrEx>
          <w:tblCellMar>
            <w:top w:w="0" w:type="dxa"/>
            <w:left w:w="108" w:type="dxa"/>
            <w:bottom w:w="0" w:type="dxa"/>
            <w:right w:w="108" w:type="dxa"/>
          </w:tblCellMar>
        </w:tblPrEx>
        <w:trPr>
          <w:trHeight w:val="855" w:hRule="atLeast"/>
        </w:trPr>
        <w:tc>
          <w:tcPr>
            <w:tcW w:w="5000" w:type="pct"/>
            <w:gridSpan w:val="9"/>
            <w:tcBorders>
              <w:top w:val="nil"/>
              <w:left w:val="nil"/>
              <w:bottom w:val="nil"/>
              <w:right w:val="nil"/>
            </w:tcBorders>
            <w:shd w:val="clear" w:color="auto" w:fill="FFFFFF"/>
            <w:noWrap/>
            <w:vAlign w:val="center"/>
          </w:tcPr>
          <w:p>
            <w:pPr>
              <w:widowControl/>
              <w:jc w:val="center"/>
              <w:textAlignment w:val="center"/>
              <w:rPr>
                <w:rFonts w:hint="eastAsia" w:ascii="宋体" w:hAnsi="宋体" w:eastAsia="宋体" w:cs="宋体"/>
                <w:b/>
                <w:bCs/>
                <w:color w:val="000000"/>
                <w:kern w:val="0"/>
                <w:sz w:val="32"/>
                <w:szCs w:val="13"/>
                <w:lang w:bidi="ar"/>
              </w:rPr>
            </w:pPr>
          </w:p>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32"/>
                <w:szCs w:val="13"/>
                <w:lang w:bidi="ar"/>
              </w:rPr>
              <w:t>2023年社会保险基金收支预算总表</w:t>
            </w:r>
          </w:p>
        </w:tc>
      </w:tr>
      <w:tr>
        <w:tblPrEx>
          <w:tblCellMar>
            <w:top w:w="0" w:type="dxa"/>
            <w:left w:w="108" w:type="dxa"/>
            <w:bottom w:w="0" w:type="dxa"/>
            <w:right w:w="108" w:type="dxa"/>
          </w:tblCellMar>
        </w:tblPrEx>
        <w:trPr>
          <w:trHeight w:val="75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22"/>
                <w:szCs w:val="13"/>
                <w:lang w:bidi="ar"/>
              </w:rPr>
              <w:t>项        目</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22"/>
                <w:szCs w:val="13"/>
                <w:lang w:bidi="ar"/>
              </w:rPr>
              <w:t>合计</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000000"/>
                <w:kern w:val="0"/>
                <w:sz w:val="22"/>
                <w:szCs w:val="13"/>
                <w:lang w:eastAsia="zh-CN" w:bidi="ar"/>
              </w:rPr>
            </w:pPr>
            <w:r>
              <w:rPr>
                <w:rFonts w:hint="eastAsia" w:ascii="宋体" w:hAnsi="宋体" w:eastAsia="宋体" w:cs="宋体"/>
                <w:b/>
                <w:bCs/>
                <w:color w:val="000000"/>
                <w:kern w:val="0"/>
                <w:sz w:val="22"/>
                <w:szCs w:val="13"/>
                <w:lang w:bidi="ar"/>
              </w:rPr>
              <w:t>企业职工基本</w:t>
            </w:r>
          </w:p>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22"/>
                <w:szCs w:val="13"/>
                <w:lang w:bidi="ar"/>
              </w:rPr>
              <w:t>养老保险基金</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000000"/>
                <w:kern w:val="0"/>
                <w:sz w:val="22"/>
                <w:szCs w:val="13"/>
                <w:lang w:eastAsia="zh-CN" w:bidi="ar"/>
              </w:rPr>
            </w:pPr>
            <w:r>
              <w:rPr>
                <w:rFonts w:hint="eastAsia" w:ascii="宋体" w:hAnsi="宋体" w:eastAsia="宋体" w:cs="宋体"/>
                <w:b/>
                <w:bCs/>
                <w:color w:val="000000"/>
                <w:kern w:val="0"/>
                <w:sz w:val="22"/>
                <w:szCs w:val="13"/>
                <w:lang w:bidi="ar"/>
              </w:rPr>
              <w:t>城乡居民基本</w:t>
            </w:r>
          </w:p>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22"/>
                <w:szCs w:val="13"/>
                <w:lang w:bidi="ar"/>
              </w:rPr>
              <w:t>养老保险基金</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000000"/>
                <w:kern w:val="0"/>
                <w:sz w:val="22"/>
                <w:szCs w:val="13"/>
                <w:lang w:eastAsia="zh-CN" w:bidi="ar"/>
              </w:rPr>
            </w:pPr>
            <w:r>
              <w:rPr>
                <w:rFonts w:hint="eastAsia" w:ascii="宋体" w:hAnsi="宋体" w:eastAsia="宋体" w:cs="宋体"/>
                <w:b/>
                <w:bCs/>
                <w:color w:val="000000"/>
                <w:kern w:val="0"/>
                <w:sz w:val="22"/>
                <w:szCs w:val="13"/>
                <w:lang w:bidi="ar"/>
              </w:rPr>
              <w:t>机关事业单位基</w:t>
            </w:r>
          </w:p>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22"/>
                <w:szCs w:val="13"/>
                <w:lang w:bidi="ar"/>
              </w:rPr>
              <w:t>本养老保险基金</w:t>
            </w:r>
          </w:p>
        </w:tc>
        <w:tc>
          <w:tcPr>
            <w:tcW w:w="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000000"/>
                <w:kern w:val="0"/>
                <w:sz w:val="22"/>
                <w:szCs w:val="13"/>
                <w:lang w:eastAsia="zh-CN" w:bidi="ar"/>
              </w:rPr>
            </w:pPr>
            <w:r>
              <w:rPr>
                <w:rFonts w:hint="eastAsia" w:ascii="宋体" w:hAnsi="宋体" w:eastAsia="宋体" w:cs="宋体"/>
                <w:b/>
                <w:bCs/>
                <w:color w:val="000000"/>
                <w:kern w:val="0"/>
                <w:sz w:val="22"/>
                <w:szCs w:val="13"/>
                <w:lang w:bidi="ar"/>
              </w:rPr>
              <w:t>职工基本医疗保险</w:t>
            </w:r>
          </w:p>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22"/>
                <w:szCs w:val="13"/>
                <w:lang w:bidi="ar"/>
              </w:rPr>
              <w:t>(含生育保险)基金</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000000"/>
                <w:kern w:val="0"/>
                <w:sz w:val="22"/>
                <w:szCs w:val="13"/>
                <w:lang w:eastAsia="zh-CN" w:bidi="ar"/>
              </w:rPr>
            </w:pPr>
            <w:r>
              <w:rPr>
                <w:rFonts w:hint="eastAsia" w:ascii="宋体" w:hAnsi="宋体" w:eastAsia="宋体" w:cs="宋体"/>
                <w:b/>
                <w:bCs/>
                <w:color w:val="000000"/>
                <w:kern w:val="0"/>
                <w:sz w:val="22"/>
                <w:szCs w:val="13"/>
                <w:lang w:bidi="ar"/>
              </w:rPr>
              <w:t>城乡居民基本</w:t>
            </w:r>
          </w:p>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22"/>
                <w:szCs w:val="13"/>
                <w:lang w:bidi="ar"/>
              </w:rPr>
              <w:t>医疗保险基金</w:t>
            </w:r>
          </w:p>
        </w:tc>
        <w:tc>
          <w:tcPr>
            <w:tcW w:w="2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22"/>
                <w:szCs w:val="13"/>
                <w:lang w:bidi="ar"/>
              </w:rPr>
              <w:t>工伤保险基金</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2"/>
                <w:szCs w:val="13"/>
              </w:rPr>
            </w:pPr>
            <w:r>
              <w:rPr>
                <w:rFonts w:hint="eastAsia" w:ascii="宋体" w:hAnsi="宋体" w:eastAsia="宋体" w:cs="宋体"/>
                <w:b/>
                <w:bCs/>
                <w:color w:val="000000"/>
                <w:kern w:val="0"/>
                <w:sz w:val="22"/>
                <w:szCs w:val="13"/>
                <w:lang w:bidi="ar"/>
              </w:rPr>
              <w:t>失业保险基金</w:t>
            </w:r>
          </w:p>
        </w:tc>
      </w:tr>
      <w:tr>
        <w:tblPrEx>
          <w:tblCellMar>
            <w:top w:w="0" w:type="dxa"/>
            <w:left w:w="108" w:type="dxa"/>
            <w:bottom w:w="0" w:type="dxa"/>
            <w:right w:w="108" w:type="dxa"/>
          </w:tblCellMar>
        </w:tblPrEx>
        <w:trPr>
          <w:trHeight w:val="510" w:hRule="atLeast"/>
        </w:trPr>
        <w:tc>
          <w:tcPr>
            <w:tcW w:w="1448"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一、收入</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52035.3 </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7265.4 </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44769.9</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其中:1.社会保险费收入</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22490.1 </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1855.9</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20634.2</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2.财政补贴收入</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28806.1 </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4786.5</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24019.6</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3.利息收入</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105 </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89 </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16 </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4.委托投资收益</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520.6</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520.6</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center"/>
              <w:rPr>
                <w:rFonts w:ascii="宋体" w:hAnsi="宋体" w:eastAsia="宋体" w:cs="宋体"/>
                <w:color w:val="000000"/>
                <w:sz w:val="22"/>
                <w:szCs w:val="13"/>
              </w:rPr>
            </w:pP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5.转移收入</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103.5</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3.5</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100 </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6.其他收入</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10 </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10 </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7.全国统筹调剂资金收入（省级专用）</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8.全国统筹调剂资金收入（中央专用)</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二、支出</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53820.7 </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8615.7</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45205</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其中:1.社会保险待遇支出</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53649.7 </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8599.7</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45050 </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2.转移支出</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171 </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16 </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155 </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3.其他支出</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4.全国统筹调剂资金支出（中央专用）</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 xml:space="preserve">         5.全国统筹调剂资金支出（省级专用）</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三、本年收支结余</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-1785.4</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-1350.3</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-435.1</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r>
        <w:tblPrEx>
          <w:tblCellMar>
            <w:top w:w="0" w:type="dxa"/>
            <w:left w:w="108" w:type="dxa"/>
            <w:bottom w:w="0" w:type="dxa"/>
            <w:right w:w="108" w:type="dxa"/>
          </w:tblCellMar>
        </w:tblPrEx>
        <w:trPr>
          <w:trHeight w:val="510" w:hRule="atLeast"/>
        </w:trPr>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3"/>
              </w:rPr>
            </w:pPr>
            <w:r>
              <w:rPr>
                <w:rFonts w:hint="eastAsia" w:ascii="宋体" w:hAnsi="宋体" w:eastAsia="宋体" w:cs="宋体"/>
                <w:color w:val="000000"/>
                <w:kern w:val="0"/>
                <w:sz w:val="18"/>
                <w:szCs w:val="13"/>
                <w:lang w:bidi="ar"/>
              </w:rPr>
              <w:t>四、年末滚存结余</w:t>
            </w:r>
          </w:p>
        </w:tc>
        <w:tc>
          <w:tcPr>
            <w:tcW w:w="618"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16314.2 </w:t>
            </w:r>
          </w:p>
        </w:tc>
        <w:tc>
          <w:tcPr>
            <w:tcW w:w="463"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542"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 xml:space="preserve">16100.5 </w:t>
            </w:r>
          </w:p>
        </w:tc>
        <w:tc>
          <w:tcPr>
            <w:tcW w:w="539"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widowControl/>
              <w:jc w:val="right"/>
              <w:textAlignment w:val="center"/>
              <w:rPr>
                <w:rFonts w:ascii="宋体" w:hAnsi="宋体" w:eastAsia="宋体" w:cs="宋体"/>
                <w:color w:val="000000"/>
                <w:sz w:val="22"/>
                <w:szCs w:val="13"/>
              </w:rPr>
            </w:pPr>
            <w:r>
              <w:rPr>
                <w:rFonts w:hint="eastAsia" w:ascii="宋体" w:hAnsi="宋体" w:eastAsia="宋体" w:cs="宋体"/>
                <w:color w:val="000000"/>
                <w:kern w:val="0"/>
                <w:sz w:val="22"/>
                <w:szCs w:val="13"/>
                <w:lang w:bidi="ar"/>
              </w:rPr>
              <w:t>213.7</w:t>
            </w:r>
          </w:p>
        </w:tc>
        <w:tc>
          <w:tcPr>
            <w:tcW w:w="4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38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76"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FFFF80"/>
            <w:noWrap/>
            <w:vAlign w:val="center"/>
          </w:tcPr>
          <w:p>
            <w:pPr>
              <w:jc w:val="right"/>
              <w:rPr>
                <w:rFonts w:ascii="宋体" w:hAnsi="宋体" w:eastAsia="宋体" w:cs="宋体"/>
                <w:color w:val="000000"/>
                <w:sz w:val="22"/>
                <w:szCs w:val="13"/>
              </w:rPr>
            </w:pPr>
          </w:p>
        </w:tc>
      </w:tr>
    </w:tbl>
    <w:p>
      <w:pPr>
        <w:spacing w:line="540" w:lineRule="exact"/>
        <w:jc w:val="left"/>
        <w:rPr>
          <w:rFonts w:ascii="黑体" w:hAnsi="黑体" w:eastAsia="黑体" w:cs="黑体"/>
          <w:sz w:val="44"/>
          <w:szCs w:val="44"/>
        </w:rPr>
      </w:pPr>
      <w:r>
        <w:rPr>
          <w:rFonts w:hint="eastAsia" w:ascii="黑体" w:hAnsi="黑体" w:eastAsia="黑体" w:cs="黑体"/>
          <w:sz w:val="44"/>
          <w:szCs w:val="44"/>
        </w:rPr>
        <w:t>第六部分 情况说明</w:t>
      </w:r>
    </w:p>
    <w:p>
      <w:pPr>
        <w:ind w:firstLine="880" w:firstLineChars="200"/>
        <w:rPr>
          <w:color w:val="000000"/>
          <w:sz w:val="44"/>
          <w:szCs w:val="44"/>
        </w:rPr>
      </w:pPr>
      <w:r>
        <w:rPr>
          <w:rFonts w:hint="eastAsia"/>
          <w:color w:val="000000"/>
          <w:sz w:val="44"/>
          <w:szCs w:val="44"/>
        </w:rPr>
        <w:t xml:space="preserve">   </w:t>
      </w:r>
    </w:p>
    <w:p>
      <w:pPr>
        <w:ind w:firstLine="800" w:firstLineChars="200"/>
        <w:jc w:val="center"/>
        <w:rPr>
          <w:rFonts w:ascii="方正大标宋简体" w:hAnsi="仿宋" w:eastAsia="方正大标宋简体"/>
          <w:color w:val="000000"/>
          <w:sz w:val="28"/>
          <w:szCs w:val="30"/>
        </w:rPr>
      </w:pPr>
      <w:r>
        <w:rPr>
          <w:rFonts w:hint="eastAsia" w:ascii="方正大标宋简体" w:hAnsi="仿宋" w:eastAsia="方正大标宋简体"/>
          <w:color w:val="000000"/>
          <w:sz w:val="40"/>
          <w:szCs w:val="44"/>
        </w:rPr>
        <w:t>2023年转移支付情况说明</w:t>
      </w:r>
    </w:p>
    <w:p>
      <w:pPr>
        <w:ind w:firstLine="600" w:firstLineChars="200"/>
        <w:rPr>
          <w:rFonts w:ascii="仿宋" w:hAnsi="仿宋" w:eastAsia="仿宋"/>
          <w:color w:val="000000"/>
          <w:sz w:val="30"/>
          <w:szCs w:val="30"/>
        </w:rPr>
      </w:pPr>
    </w:p>
    <w:p>
      <w:pPr>
        <w:ind w:firstLine="600" w:firstLineChars="200"/>
        <w:rPr>
          <w:rFonts w:hint="eastAsia" w:ascii="仿宋" w:hAnsi="仿宋" w:eastAsia="仿宋"/>
          <w:color w:val="000000"/>
          <w:sz w:val="30"/>
          <w:szCs w:val="30"/>
          <w:lang w:eastAsia="zh-CN"/>
        </w:rPr>
      </w:pPr>
      <w:r>
        <w:rPr>
          <w:rFonts w:ascii="仿宋" w:hAnsi="仿宋" w:eastAsia="仿宋"/>
          <w:color w:val="000000"/>
          <w:sz w:val="30"/>
          <w:szCs w:val="30"/>
        </w:rPr>
        <w:t>20</w:t>
      </w:r>
      <w:r>
        <w:rPr>
          <w:rFonts w:hint="eastAsia" w:ascii="仿宋" w:hAnsi="仿宋" w:eastAsia="仿宋"/>
          <w:color w:val="000000"/>
          <w:sz w:val="30"/>
          <w:szCs w:val="30"/>
        </w:rPr>
        <w:t>23</w:t>
      </w:r>
      <w:r>
        <w:rPr>
          <w:rFonts w:ascii="仿宋" w:hAnsi="仿宋" w:eastAsia="仿宋"/>
          <w:color w:val="000000"/>
          <w:sz w:val="30"/>
          <w:szCs w:val="30"/>
        </w:rPr>
        <w:t>年预计上级补助收入</w:t>
      </w:r>
      <w:r>
        <w:rPr>
          <w:rFonts w:hint="eastAsia" w:ascii="仿宋" w:hAnsi="仿宋" w:eastAsia="仿宋"/>
          <w:color w:val="000000"/>
          <w:sz w:val="30"/>
          <w:szCs w:val="30"/>
        </w:rPr>
        <w:t>361,229</w:t>
      </w:r>
      <w:r>
        <w:rPr>
          <w:rFonts w:ascii="仿宋" w:hAnsi="仿宋" w:eastAsia="仿宋"/>
          <w:color w:val="000000"/>
          <w:sz w:val="30"/>
          <w:szCs w:val="30"/>
        </w:rPr>
        <w:t>万元，其中，返还性收入</w:t>
      </w:r>
      <w:r>
        <w:rPr>
          <w:rFonts w:hint="eastAsia" w:ascii="仿宋" w:hAnsi="仿宋" w:eastAsia="仿宋"/>
          <w:color w:val="000000"/>
          <w:sz w:val="30"/>
          <w:szCs w:val="30"/>
        </w:rPr>
        <w:t>-4,833</w:t>
      </w:r>
      <w:r>
        <w:rPr>
          <w:rFonts w:ascii="仿宋" w:hAnsi="仿宋" w:eastAsia="仿宋"/>
          <w:color w:val="000000"/>
          <w:sz w:val="30"/>
          <w:szCs w:val="30"/>
        </w:rPr>
        <w:t>万元，</w:t>
      </w:r>
      <w:r>
        <w:rPr>
          <w:rFonts w:hint="eastAsia" w:ascii="仿宋" w:hAnsi="仿宋" w:eastAsia="仿宋"/>
          <w:color w:val="000000"/>
          <w:sz w:val="30"/>
          <w:szCs w:val="30"/>
        </w:rPr>
        <w:t>一般性转移支付为272,680万元,专项转移支付7,896万元。</w:t>
      </w:r>
    </w:p>
    <w:p>
      <w:pPr>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 xml:space="preserve">    </w:t>
      </w:r>
      <w:r>
        <w:rPr>
          <w:rFonts w:ascii="仿宋" w:hAnsi="仿宋" w:eastAsia="仿宋"/>
          <w:color w:val="000000"/>
          <w:sz w:val="30"/>
          <w:szCs w:val="30"/>
        </w:rPr>
        <w:t>20</w:t>
      </w:r>
      <w:r>
        <w:rPr>
          <w:rFonts w:hint="eastAsia" w:ascii="仿宋" w:hAnsi="仿宋" w:eastAsia="仿宋"/>
          <w:color w:val="000000"/>
          <w:sz w:val="30"/>
          <w:szCs w:val="30"/>
        </w:rPr>
        <w:t>23</w:t>
      </w:r>
      <w:r>
        <w:rPr>
          <w:rFonts w:ascii="仿宋" w:hAnsi="仿宋" w:eastAsia="仿宋"/>
          <w:color w:val="000000"/>
          <w:sz w:val="30"/>
          <w:szCs w:val="30"/>
        </w:rPr>
        <w:t>年我市财</w:t>
      </w:r>
      <w:r>
        <w:rPr>
          <w:rFonts w:hint="eastAsia" w:ascii="仿宋" w:hAnsi="仿宋" w:eastAsia="仿宋"/>
          <w:color w:val="000000"/>
          <w:sz w:val="30"/>
          <w:szCs w:val="30"/>
        </w:rPr>
        <w:t>政支出压力仍然</w:t>
      </w:r>
      <w:r>
        <w:rPr>
          <w:rFonts w:ascii="仿宋" w:hAnsi="仿宋" w:eastAsia="仿宋"/>
          <w:color w:val="000000"/>
          <w:sz w:val="30"/>
          <w:szCs w:val="30"/>
        </w:rPr>
        <w:t>较大，</w:t>
      </w:r>
      <w:r>
        <w:rPr>
          <w:rFonts w:hint="eastAsia" w:ascii="仿宋" w:hAnsi="仿宋" w:eastAsia="仿宋"/>
          <w:color w:val="000000"/>
          <w:sz w:val="30"/>
          <w:szCs w:val="30"/>
        </w:rPr>
        <w:t>以上转移支付资金</w:t>
      </w:r>
      <w:r>
        <w:rPr>
          <w:rFonts w:ascii="仿宋" w:hAnsi="仿宋" w:eastAsia="仿宋"/>
          <w:color w:val="000000"/>
          <w:sz w:val="30"/>
          <w:szCs w:val="30"/>
        </w:rPr>
        <w:t>主要是</w:t>
      </w:r>
      <w:r>
        <w:rPr>
          <w:rFonts w:hint="eastAsia" w:ascii="仿宋" w:hAnsi="仿宋" w:eastAsia="仿宋"/>
          <w:color w:val="000000"/>
          <w:sz w:val="30"/>
          <w:szCs w:val="30"/>
        </w:rPr>
        <w:t>用</w:t>
      </w:r>
      <w:r>
        <w:rPr>
          <w:rFonts w:ascii="仿宋" w:hAnsi="仿宋" w:eastAsia="仿宋"/>
          <w:color w:val="000000"/>
          <w:sz w:val="30"/>
          <w:szCs w:val="30"/>
        </w:rPr>
        <w:t>于</w:t>
      </w:r>
      <w:r>
        <w:rPr>
          <w:rFonts w:hint="eastAsia" w:ascii="仿宋" w:hAnsi="仿宋" w:eastAsia="仿宋" w:cs="宋体"/>
          <w:color w:val="000000"/>
          <w:sz w:val="30"/>
          <w:szCs w:val="30"/>
        </w:rPr>
        <w:t>“三保”支出</w:t>
      </w:r>
      <w:r>
        <w:rPr>
          <w:rFonts w:hint="eastAsia" w:ascii="仿宋" w:hAnsi="仿宋" w:eastAsia="仿宋"/>
          <w:color w:val="000000"/>
          <w:sz w:val="30"/>
          <w:szCs w:val="30"/>
        </w:rPr>
        <w:t>，优先用于保工资</w:t>
      </w:r>
      <w:r>
        <w:rPr>
          <w:rFonts w:ascii="仿宋" w:hAnsi="仿宋" w:eastAsia="仿宋"/>
          <w:color w:val="000000"/>
          <w:sz w:val="30"/>
          <w:szCs w:val="30"/>
        </w:rPr>
        <w:t>支出。</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在保证我市财政稳健运行的同时，认真贯彻落实全省财政工作会议精神，紧密结合我市财政实际，主动适应经济发展走势，注重深入推进财税体制改革，继续实施积极的财政政策，通过转方式调结构，强化各类风险防控，努力保持经济运行在合理区间；通过</w:t>
      </w:r>
      <w:r>
        <w:rPr>
          <w:rFonts w:hint="eastAsia" w:ascii="仿宋" w:hAnsi="仿宋" w:eastAsia="仿宋"/>
          <w:color w:val="000000"/>
          <w:sz w:val="30"/>
          <w:szCs w:val="30"/>
        </w:rPr>
        <w:t>盘</w:t>
      </w:r>
      <w:r>
        <w:rPr>
          <w:rFonts w:ascii="仿宋" w:hAnsi="仿宋" w:eastAsia="仿宋"/>
          <w:color w:val="000000"/>
          <w:sz w:val="30"/>
          <w:szCs w:val="30"/>
        </w:rPr>
        <w:t>活存量管增量，优化财政支出结构，确保重点领域特别是民生支出；通过严理财强征管，提高财政资金使用效益，力促全年收支平衡。</w:t>
      </w:r>
    </w:p>
    <w:p>
      <w:pPr>
        <w:rPr>
          <w:rFonts w:ascii="仿宋" w:hAnsi="仿宋" w:eastAsia="仿宋"/>
          <w:color w:val="000000"/>
          <w:sz w:val="30"/>
          <w:szCs w:val="30"/>
        </w:rPr>
      </w:pPr>
    </w:p>
    <w:p>
      <w:pPr>
        <w:rPr>
          <w:color w:val="000000"/>
          <w:sz w:val="30"/>
          <w:szCs w:val="30"/>
        </w:rPr>
      </w:pPr>
    </w:p>
    <w:p>
      <w:pPr>
        <w:rPr>
          <w:color w:val="000000"/>
          <w:sz w:val="30"/>
          <w:szCs w:val="30"/>
        </w:rPr>
      </w:pPr>
    </w:p>
    <w:p>
      <w:pPr>
        <w:rPr>
          <w:color w:val="000000"/>
          <w:sz w:val="30"/>
          <w:szCs w:val="30"/>
        </w:rPr>
      </w:pPr>
    </w:p>
    <w:p>
      <w:pPr>
        <w:ind w:firstLine="4800" w:firstLineChars="1600"/>
        <w:rPr>
          <w:color w:val="000000"/>
          <w:sz w:val="30"/>
          <w:szCs w:val="30"/>
        </w:rPr>
      </w:pPr>
      <w:r>
        <w:rPr>
          <w:rFonts w:hint="eastAsia"/>
          <w:color w:val="000000"/>
          <w:sz w:val="30"/>
          <w:szCs w:val="30"/>
        </w:rPr>
        <w:t xml:space="preserve">   大安市财政局</w:t>
      </w:r>
    </w:p>
    <w:p>
      <w:pPr>
        <w:ind w:firstLine="600" w:firstLineChars="200"/>
        <w:rPr>
          <w:color w:val="000000"/>
          <w:sz w:val="30"/>
          <w:szCs w:val="30"/>
        </w:rPr>
      </w:pPr>
    </w:p>
    <w:p>
      <w:pPr>
        <w:rPr>
          <w:color w:val="000000"/>
          <w:sz w:val="30"/>
          <w:szCs w:val="30"/>
        </w:rPr>
      </w:pPr>
    </w:p>
    <w:p>
      <w:pPr>
        <w:pStyle w:val="12"/>
        <w:spacing w:line="560" w:lineRule="exact"/>
        <w:ind w:left="426" w:firstLine="0" w:firstLineChars="0"/>
        <w:rPr>
          <w:b/>
          <w:bCs/>
          <w:sz w:val="36"/>
          <w:szCs w:val="36"/>
        </w:rPr>
      </w:pPr>
      <w:r>
        <w:rPr>
          <w:rFonts w:hint="eastAsia"/>
          <w:b/>
          <w:bCs/>
          <w:sz w:val="36"/>
          <w:szCs w:val="36"/>
        </w:rPr>
        <w:t>二、 政府举借债务情况说明</w:t>
      </w:r>
    </w:p>
    <w:p>
      <w:pPr>
        <w:jc w:val="center"/>
        <w:rPr>
          <w:rFonts w:ascii="宋体" w:hAnsi="宋体" w:cs="宋体"/>
          <w:b/>
          <w:bCs/>
          <w:color w:val="000000"/>
          <w:kern w:val="0"/>
          <w:sz w:val="44"/>
          <w:szCs w:val="44"/>
        </w:rPr>
      </w:pPr>
    </w:p>
    <w:p>
      <w:pPr>
        <w:jc w:val="center"/>
        <w:rPr>
          <w:rFonts w:ascii="宋体" w:hAnsi="宋体" w:cs="宋体"/>
          <w:b/>
          <w:bCs/>
          <w:color w:val="000000"/>
          <w:kern w:val="0"/>
          <w:sz w:val="44"/>
          <w:szCs w:val="44"/>
        </w:rPr>
      </w:pPr>
      <w:r>
        <w:rPr>
          <w:rFonts w:hint="eastAsia" w:ascii="宋体" w:hAnsi="宋体" w:cs="宋体"/>
          <w:b/>
          <w:bCs/>
          <w:color w:val="000000"/>
          <w:kern w:val="0"/>
          <w:sz w:val="44"/>
          <w:szCs w:val="44"/>
        </w:rPr>
        <w:t>政府</w:t>
      </w:r>
      <w:r>
        <w:rPr>
          <w:rFonts w:ascii="宋体" w:hAnsi="宋体" w:cs="宋体"/>
          <w:b/>
          <w:bCs/>
          <w:color w:val="000000"/>
          <w:kern w:val="0"/>
          <w:sz w:val="44"/>
          <w:szCs w:val="44"/>
        </w:rPr>
        <w:t>举借债务情况说明</w:t>
      </w:r>
    </w:p>
    <w:p>
      <w:pPr>
        <w:jc w:val="center"/>
        <w:rPr>
          <w:rFonts w:ascii="宋体" w:hAnsi="宋体" w:cs="宋体"/>
          <w:b/>
          <w:bCs/>
          <w:color w:val="000000"/>
          <w:kern w:val="0"/>
          <w:sz w:val="44"/>
          <w:szCs w:val="44"/>
        </w:rPr>
      </w:pPr>
    </w:p>
    <w:p>
      <w:pPr>
        <w:ind w:firstLine="640" w:firstLineChars="200"/>
        <w:rPr>
          <w:rFonts w:ascii="华文仿宋" w:hAnsi="华文仿宋" w:eastAsia="华文仿宋"/>
          <w:sz w:val="32"/>
          <w:szCs w:val="32"/>
        </w:rPr>
      </w:pPr>
      <w:r>
        <w:rPr>
          <w:rFonts w:ascii="华文仿宋" w:hAnsi="华文仿宋" w:eastAsia="华文仿宋" w:cs="宋体"/>
          <w:color w:val="000000"/>
          <w:kern w:val="0"/>
          <w:sz w:val="32"/>
          <w:szCs w:val="32"/>
        </w:rPr>
        <w:t>20</w:t>
      </w:r>
      <w:r>
        <w:rPr>
          <w:rFonts w:hint="eastAsia" w:ascii="华文仿宋" w:hAnsi="华文仿宋" w:eastAsia="华文仿宋" w:cs="宋体"/>
          <w:color w:val="000000"/>
          <w:kern w:val="0"/>
          <w:sz w:val="32"/>
          <w:szCs w:val="32"/>
        </w:rPr>
        <w:t>23</w:t>
      </w:r>
      <w:r>
        <w:rPr>
          <w:rFonts w:ascii="华文仿宋" w:hAnsi="华文仿宋" w:eastAsia="华文仿宋" w:cs="宋体"/>
          <w:color w:val="000000"/>
          <w:kern w:val="0"/>
          <w:sz w:val="32"/>
          <w:szCs w:val="32"/>
        </w:rPr>
        <w:t>年我市为了防范财政风险，</w:t>
      </w:r>
      <w:r>
        <w:rPr>
          <w:rFonts w:hint="eastAsia" w:ascii="华文仿宋" w:hAnsi="华文仿宋" w:eastAsia="华文仿宋" w:cs="宋体"/>
          <w:color w:val="000000"/>
          <w:kern w:val="0"/>
          <w:sz w:val="32"/>
          <w:szCs w:val="32"/>
        </w:rPr>
        <w:t>严格遵守</w:t>
      </w:r>
      <w:r>
        <w:rPr>
          <w:rFonts w:ascii="华文仿宋" w:hAnsi="华文仿宋" w:eastAsia="华文仿宋" w:cs="宋体"/>
          <w:color w:val="000000"/>
          <w:kern w:val="0"/>
          <w:sz w:val="32"/>
          <w:szCs w:val="32"/>
        </w:rPr>
        <w:t>地方性债务管理制度和办法，</w:t>
      </w:r>
      <w:r>
        <w:rPr>
          <w:rFonts w:hint="eastAsia" w:ascii="华文仿宋" w:hAnsi="华文仿宋" w:eastAsia="华文仿宋" w:cs="宋体"/>
          <w:color w:val="000000"/>
          <w:kern w:val="0"/>
          <w:sz w:val="32"/>
          <w:szCs w:val="32"/>
        </w:rPr>
        <w:t>预计</w:t>
      </w:r>
      <w:r>
        <w:rPr>
          <w:rFonts w:hint="eastAsia" w:ascii="华文仿宋" w:hAnsi="华文仿宋" w:eastAsia="华文仿宋"/>
          <w:sz w:val="32"/>
          <w:szCs w:val="32"/>
        </w:rPr>
        <w:t>新增政府一般债券20,000万元，专项债券30,000万元。</w:t>
      </w:r>
    </w:p>
    <w:p>
      <w:pPr>
        <w:rPr>
          <w:rFonts w:ascii="华文仿宋" w:hAnsi="华文仿宋" w:eastAsia="华文仿宋" w:cs="宋体"/>
          <w:color w:val="000000"/>
          <w:kern w:val="0"/>
          <w:sz w:val="30"/>
          <w:szCs w:val="30"/>
        </w:rPr>
      </w:pPr>
    </w:p>
    <w:p>
      <w:pPr>
        <w:rPr>
          <w:rFonts w:ascii="宋体" w:hAnsi="宋体" w:cs="宋体"/>
          <w:color w:val="000000"/>
          <w:kern w:val="0"/>
          <w:sz w:val="30"/>
          <w:szCs w:val="30"/>
        </w:rPr>
      </w:pPr>
    </w:p>
    <w:p>
      <w:pPr>
        <w:rPr>
          <w:rFonts w:ascii="宋体" w:hAnsi="宋体" w:cs="宋体"/>
          <w:color w:val="000000"/>
          <w:kern w:val="0"/>
          <w:sz w:val="30"/>
          <w:szCs w:val="30"/>
        </w:rPr>
      </w:pPr>
    </w:p>
    <w:p>
      <w:pPr>
        <w:rPr>
          <w:rFonts w:ascii="宋体" w:hAnsi="宋体" w:cs="宋体"/>
          <w:color w:val="000000"/>
          <w:kern w:val="0"/>
          <w:sz w:val="30"/>
          <w:szCs w:val="30"/>
        </w:rPr>
      </w:pPr>
    </w:p>
    <w:p>
      <w:pPr>
        <w:rPr>
          <w:rFonts w:ascii="宋体" w:hAnsi="宋体" w:cs="宋体"/>
          <w:color w:val="000000"/>
          <w:kern w:val="0"/>
          <w:sz w:val="30"/>
          <w:szCs w:val="30"/>
        </w:rPr>
      </w:pPr>
    </w:p>
    <w:p>
      <w:pPr>
        <w:rPr>
          <w:rFonts w:ascii="宋体" w:hAnsi="宋体" w:cs="宋体"/>
          <w:color w:val="000000"/>
          <w:kern w:val="0"/>
          <w:sz w:val="30"/>
          <w:szCs w:val="30"/>
        </w:rPr>
      </w:pPr>
    </w:p>
    <w:p>
      <w:pPr>
        <w:rPr>
          <w:rFonts w:ascii="宋体" w:hAnsi="宋体" w:cs="宋体"/>
          <w:color w:val="000000"/>
          <w:kern w:val="0"/>
          <w:sz w:val="30"/>
          <w:szCs w:val="30"/>
        </w:rPr>
      </w:pPr>
    </w:p>
    <w:p>
      <w:pPr>
        <w:rPr>
          <w:rFonts w:ascii="方正大标宋简体" w:hAnsi="方正大标宋简体" w:eastAsia="方正大标宋简体" w:cs="方正大标宋简体"/>
          <w:bCs/>
          <w:sz w:val="44"/>
          <w:szCs w:val="44"/>
          <w:shd w:val="clear" w:color="auto" w:fill="FFFFFF"/>
        </w:rPr>
      </w:pPr>
      <w:r>
        <w:rPr>
          <w:rFonts w:hint="eastAsia" w:ascii="宋体" w:hAnsi="宋体" w:cs="宋体"/>
          <w:color w:val="000000"/>
          <w:kern w:val="0"/>
          <w:sz w:val="30"/>
          <w:szCs w:val="30"/>
        </w:rPr>
        <w:t xml:space="preserve">                                    大安</w:t>
      </w:r>
      <w:r>
        <w:rPr>
          <w:rFonts w:ascii="宋体" w:hAnsi="宋体" w:cs="宋体"/>
          <w:color w:val="000000"/>
          <w:kern w:val="0"/>
          <w:sz w:val="30"/>
          <w:szCs w:val="30"/>
        </w:rPr>
        <w:t>市财政局</w:t>
      </w:r>
    </w:p>
    <w:p>
      <w:pPr>
        <w:pStyle w:val="12"/>
        <w:spacing w:line="560" w:lineRule="exact"/>
        <w:ind w:left="432" w:firstLine="0" w:firstLineChars="0"/>
        <w:rPr>
          <w:b/>
          <w:bCs/>
          <w:sz w:val="36"/>
          <w:szCs w:val="36"/>
        </w:rPr>
      </w:pPr>
    </w:p>
    <w:p>
      <w:pPr>
        <w:pStyle w:val="12"/>
        <w:spacing w:line="560" w:lineRule="exact"/>
        <w:ind w:left="432" w:firstLine="0" w:firstLineChars="0"/>
        <w:rPr>
          <w:b/>
          <w:bCs/>
          <w:sz w:val="36"/>
          <w:szCs w:val="36"/>
        </w:rPr>
      </w:pPr>
    </w:p>
    <w:p>
      <w:pPr>
        <w:pStyle w:val="12"/>
        <w:spacing w:line="560" w:lineRule="exact"/>
        <w:ind w:left="432" w:firstLine="0" w:firstLineChars="0"/>
        <w:rPr>
          <w:rFonts w:hint="eastAsia"/>
          <w:b/>
          <w:bCs/>
          <w:sz w:val="36"/>
          <w:szCs w:val="36"/>
        </w:rPr>
      </w:pPr>
    </w:p>
    <w:p>
      <w:pPr>
        <w:pStyle w:val="12"/>
        <w:spacing w:line="560" w:lineRule="exact"/>
        <w:ind w:left="432" w:firstLine="0" w:firstLineChars="0"/>
        <w:rPr>
          <w:rFonts w:hint="eastAsia"/>
          <w:b/>
          <w:bCs/>
          <w:sz w:val="36"/>
          <w:szCs w:val="36"/>
        </w:rPr>
      </w:pPr>
    </w:p>
    <w:p>
      <w:pPr>
        <w:pStyle w:val="12"/>
        <w:spacing w:line="560" w:lineRule="exact"/>
        <w:ind w:left="432" w:firstLine="0" w:firstLineChars="0"/>
        <w:rPr>
          <w:rFonts w:hint="eastAsia"/>
          <w:b/>
          <w:bCs/>
          <w:sz w:val="36"/>
          <w:szCs w:val="36"/>
        </w:rPr>
      </w:pPr>
    </w:p>
    <w:p>
      <w:pPr>
        <w:pStyle w:val="12"/>
        <w:spacing w:line="560" w:lineRule="exact"/>
        <w:ind w:left="432" w:firstLine="0" w:firstLineChars="0"/>
        <w:rPr>
          <w:b/>
          <w:bCs/>
          <w:sz w:val="36"/>
          <w:szCs w:val="36"/>
        </w:rPr>
      </w:pPr>
    </w:p>
    <w:p>
      <w:pPr>
        <w:pStyle w:val="12"/>
        <w:spacing w:line="560" w:lineRule="exact"/>
        <w:ind w:left="432" w:firstLine="0" w:firstLineChars="0"/>
        <w:rPr>
          <w:b/>
          <w:bCs/>
          <w:sz w:val="36"/>
          <w:szCs w:val="36"/>
        </w:rPr>
      </w:pPr>
    </w:p>
    <w:p>
      <w:pPr>
        <w:pStyle w:val="12"/>
        <w:spacing w:line="560" w:lineRule="exact"/>
        <w:ind w:left="432" w:firstLine="0" w:firstLineChars="0"/>
        <w:rPr>
          <w:b/>
          <w:bCs/>
          <w:sz w:val="36"/>
          <w:szCs w:val="36"/>
        </w:rPr>
      </w:pPr>
    </w:p>
    <w:p>
      <w:pPr>
        <w:pStyle w:val="12"/>
        <w:numPr>
          <w:ilvl w:val="0"/>
          <w:numId w:val="6"/>
        </w:numPr>
        <w:spacing w:line="560" w:lineRule="exact"/>
        <w:ind w:hanging="6" w:firstLineChars="0"/>
        <w:rPr>
          <w:b/>
          <w:bCs/>
          <w:sz w:val="36"/>
          <w:szCs w:val="36"/>
        </w:rPr>
      </w:pPr>
      <w:r>
        <w:rPr>
          <w:rFonts w:hint="eastAsia"/>
          <w:b/>
          <w:bCs/>
          <w:sz w:val="36"/>
          <w:szCs w:val="36"/>
        </w:rPr>
        <w:t xml:space="preserve"> “三公”经费预算安排情况说明</w:t>
      </w:r>
    </w:p>
    <w:p>
      <w:pPr>
        <w:jc w:val="center"/>
        <w:rPr>
          <w:b/>
          <w:bCs/>
          <w:color w:val="000000"/>
          <w:sz w:val="44"/>
          <w:szCs w:val="44"/>
        </w:rPr>
      </w:pPr>
    </w:p>
    <w:p>
      <w:pPr>
        <w:jc w:val="center"/>
        <w:rPr>
          <w:rFonts w:hint="eastAsia"/>
          <w:b/>
          <w:bCs/>
          <w:color w:val="000000"/>
          <w:sz w:val="44"/>
          <w:szCs w:val="44"/>
        </w:rPr>
      </w:pPr>
    </w:p>
    <w:p>
      <w:pPr>
        <w:jc w:val="center"/>
        <w:rPr>
          <w:color w:val="000000"/>
          <w:sz w:val="44"/>
          <w:szCs w:val="44"/>
        </w:rPr>
      </w:pPr>
      <w:r>
        <w:rPr>
          <w:rFonts w:hint="eastAsia"/>
          <w:b/>
          <w:bCs/>
          <w:color w:val="000000"/>
          <w:sz w:val="44"/>
          <w:szCs w:val="44"/>
        </w:rPr>
        <w:t>2</w:t>
      </w:r>
      <w:r>
        <w:rPr>
          <w:b/>
          <w:bCs/>
          <w:color w:val="000000"/>
          <w:sz w:val="44"/>
          <w:szCs w:val="44"/>
        </w:rPr>
        <w:t>0</w:t>
      </w:r>
      <w:r>
        <w:rPr>
          <w:rFonts w:hint="eastAsia"/>
          <w:b/>
          <w:bCs/>
          <w:color w:val="000000"/>
          <w:sz w:val="44"/>
          <w:szCs w:val="44"/>
        </w:rPr>
        <w:t>23</w:t>
      </w:r>
      <w:r>
        <w:rPr>
          <w:b/>
          <w:bCs/>
          <w:color w:val="000000"/>
          <w:sz w:val="44"/>
          <w:szCs w:val="44"/>
        </w:rPr>
        <w:t>年“三公”经费预算</w:t>
      </w:r>
      <w:r>
        <w:rPr>
          <w:rFonts w:hint="eastAsia"/>
          <w:b/>
          <w:bCs/>
          <w:color w:val="000000"/>
          <w:sz w:val="44"/>
          <w:szCs w:val="44"/>
        </w:rPr>
        <w:t>安排</w:t>
      </w:r>
      <w:r>
        <w:rPr>
          <w:b/>
          <w:bCs/>
          <w:color w:val="000000"/>
          <w:sz w:val="44"/>
          <w:szCs w:val="44"/>
        </w:rPr>
        <w:t>情况</w:t>
      </w:r>
      <w:r>
        <w:rPr>
          <w:rFonts w:hint="eastAsia"/>
          <w:b/>
          <w:bCs/>
          <w:color w:val="000000"/>
          <w:sz w:val="44"/>
          <w:szCs w:val="44"/>
        </w:rPr>
        <w:t>说明</w:t>
      </w:r>
    </w:p>
    <w:p>
      <w:pPr>
        <w:rPr>
          <w:color w:val="000000"/>
          <w:sz w:val="17"/>
          <w:szCs w:val="17"/>
        </w:rPr>
      </w:pPr>
    </w:p>
    <w:p>
      <w:pPr>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为有效落实中央、省委关于厉行节约的各项规定，进一步规范因公出国（境）经费、公务用车购置及运行费、公务接待费的管理，从严控制“三公”经费开支，树立勤俭节约的良好风气，进一步挖掘节约潜力,从源头上控制“三公”经费支出</w:t>
      </w:r>
      <w:r>
        <w:rPr>
          <w:rFonts w:hint="eastAsia" w:ascii="华文仿宋" w:hAnsi="华文仿宋" w:eastAsia="华文仿宋"/>
          <w:color w:val="000000"/>
          <w:sz w:val="32"/>
          <w:szCs w:val="32"/>
        </w:rPr>
        <w:t>，做到“三公”经费只降不增。2023财政预算安排“三公”经费共计为812.35</w:t>
      </w:r>
      <w:r>
        <w:rPr>
          <w:rFonts w:ascii="华文仿宋" w:hAnsi="华文仿宋" w:eastAsia="华文仿宋"/>
          <w:color w:val="000000"/>
          <w:sz w:val="32"/>
          <w:szCs w:val="32"/>
        </w:rPr>
        <w:t>万元，其中：因公出国（境）费未</w:t>
      </w:r>
      <w:r>
        <w:rPr>
          <w:rFonts w:hint="eastAsia" w:ascii="华文仿宋" w:hAnsi="华文仿宋" w:eastAsia="华文仿宋"/>
          <w:color w:val="000000"/>
          <w:sz w:val="32"/>
          <w:szCs w:val="32"/>
        </w:rPr>
        <w:t>安排预算</w:t>
      </w:r>
      <w:r>
        <w:rPr>
          <w:rFonts w:ascii="华文仿宋" w:hAnsi="华文仿宋" w:eastAsia="华文仿宋"/>
          <w:color w:val="000000"/>
          <w:sz w:val="32"/>
          <w:szCs w:val="32"/>
        </w:rPr>
        <w:t>，公车购置费</w:t>
      </w:r>
      <w:r>
        <w:rPr>
          <w:rFonts w:hint="eastAsia" w:ascii="华文仿宋" w:hAnsi="华文仿宋" w:eastAsia="华文仿宋"/>
          <w:color w:val="000000"/>
          <w:sz w:val="32"/>
          <w:szCs w:val="32"/>
        </w:rPr>
        <w:t>未安排预算</w:t>
      </w:r>
      <w:r>
        <w:rPr>
          <w:rFonts w:ascii="华文仿宋" w:hAnsi="华文仿宋" w:eastAsia="华文仿宋"/>
          <w:color w:val="000000"/>
          <w:sz w:val="32"/>
          <w:szCs w:val="32"/>
        </w:rPr>
        <w:t>，公务用车运行维护费</w:t>
      </w:r>
      <w:r>
        <w:rPr>
          <w:rFonts w:hint="eastAsia" w:ascii="华文仿宋" w:hAnsi="华文仿宋" w:eastAsia="华文仿宋"/>
          <w:color w:val="000000"/>
          <w:sz w:val="32"/>
          <w:szCs w:val="32"/>
        </w:rPr>
        <w:t>707.67</w:t>
      </w:r>
      <w:r>
        <w:rPr>
          <w:rFonts w:ascii="华文仿宋" w:hAnsi="华文仿宋" w:eastAsia="华文仿宋"/>
          <w:color w:val="000000"/>
          <w:sz w:val="32"/>
          <w:szCs w:val="32"/>
        </w:rPr>
        <w:t>万元，公务接待费</w:t>
      </w:r>
      <w:r>
        <w:rPr>
          <w:rFonts w:hint="eastAsia" w:ascii="华文仿宋" w:hAnsi="华文仿宋" w:eastAsia="华文仿宋"/>
          <w:color w:val="000000"/>
          <w:sz w:val="32"/>
          <w:szCs w:val="32"/>
        </w:rPr>
        <w:t>104.68</w:t>
      </w:r>
      <w:r>
        <w:rPr>
          <w:rFonts w:ascii="华文仿宋" w:hAnsi="华文仿宋" w:eastAsia="华文仿宋"/>
          <w:color w:val="000000"/>
          <w:sz w:val="32"/>
          <w:szCs w:val="32"/>
        </w:rPr>
        <w:t>万元。</w:t>
      </w: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color w:val="000000"/>
          <w:sz w:val="32"/>
          <w:szCs w:val="32"/>
        </w:rPr>
      </w:pPr>
    </w:p>
    <w:p>
      <w:pPr>
        <w:ind w:firstLine="640" w:firstLineChars="200"/>
        <w:rPr>
          <w:sz w:val="32"/>
          <w:szCs w:val="32"/>
        </w:rPr>
      </w:pPr>
      <w:r>
        <w:rPr>
          <w:rFonts w:hint="eastAsia"/>
          <w:color w:val="000000"/>
          <w:sz w:val="32"/>
          <w:szCs w:val="32"/>
        </w:rPr>
        <w:t xml:space="preserve">                              大安市财政局</w:t>
      </w:r>
    </w:p>
    <w:p>
      <w:pPr>
        <w:rPr>
          <w:rFonts w:ascii="方正大标宋简体" w:hAnsi="方正大标宋简体" w:eastAsia="方正大标宋简体" w:cs="方正大标宋简体"/>
          <w:bCs/>
          <w:sz w:val="44"/>
          <w:szCs w:val="44"/>
          <w:shd w:val="clear" w:color="auto" w:fill="FFFFFF"/>
        </w:rPr>
      </w:pPr>
    </w:p>
    <w:sectPr>
      <w:footerReference r:id="rId3" w:type="default"/>
      <w:pgSz w:w="11906" w:h="16838"/>
      <w:pgMar w:top="1417" w:right="1531" w:bottom="1304" w:left="1531" w:header="851"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- 85 -</w:t>
                          </w:r>
                          <w:r>
                            <w:rPr>
                              <w:rFonts w:ascii="Times New Roman" w:hAnsi="Times New Roman" w:cs="Times New Roman"/>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ascii="Times New Roman" w:hAnsi="Times New Roman" w:cs="Times New Roman"/>
                        <w:szCs w:val="21"/>
                      </w:rPr>
                      <w:fldChar w:fldCharType="begin"/>
                    </w:r>
                    <w:r>
                      <w:rPr>
                        <w:rFonts w:ascii="Times New Roman" w:hAnsi="Times New Roman" w:cs="Times New Roman"/>
                        <w:szCs w:val="21"/>
                      </w:rPr>
                      <w:instrText xml:space="preserve"> PAGE  \* MERGEFORMAT </w:instrText>
                    </w:r>
                    <w:r>
                      <w:rPr>
                        <w:rFonts w:ascii="Times New Roman" w:hAnsi="Times New Roman" w:cs="Times New Roman"/>
                        <w:szCs w:val="21"/>
                      </w:rPr>
                      <w:fldChar w:fldCharType="separate"/>
                    </w:r>
                    <w:r>
                      <w:rPr>
                        <w:rFonts w:ascii="Times New Roman" w:hAnsi="Times New Roman" w:cs="Times New Roman"/>
                        <w:szCs w:val="21"/>
                      </w:rPr>
                      <w:t>- 85 -</w:t>
                    </w:r>
                    <w:r>
                      <w:rPr>
                        <w:rFonts w:ascii="Times New Roman" w:hAnsi="Times New Roman" w:cs="Times New Roman"/>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35C91"/>
    <w:multiLevelType w:val="multilevel"/>
    <w:tmpl w:val="00335C91"/>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3D2C11"/>
    <w:multiLevelType w:val="multilevel"/>
    <w:tmpl w:val="133D2C11"/>
    <w:lvl w:ilvl="0" w:tentative="0">
      <w:start w:val="1"/>
      <w:numFmt w:val="japaneseCounting"/>
      <w:lvlText w:val="%1、"/>
      <w:lvlJc w:val="left"/>
      <w:pPr>
        <w:ind w:left="432" w:hanging="432"/>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644624"/>
    <w:multiLevelType w:val="multilevel"/>
    <w:tmpl w:val="28644624"/>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050AC8"/>
    <w:multiLevelType w:val="multilevel"/>
    <w:tmpl w:val="2B050AC8"/>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A41DC2"/>
    <w:multiLevelType w:val="multilevel"/>
    <w:tmpl w:val="56A41DC2"/>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NWFmMjJhOTZkNmI0OGI4NzU1ZTZiMjBkYmFmMDcifQ=="/>
  </w:docVars>
  <w:rsids>
    <w:rsidRoot w:val="5E2F3C45"/>
    <w:rsid w:val="00046D0E"/>
    <w:rsid w:val="000627AB"/>
    <w:rsid w:val="00074A34"/>
    <w:rsid w:val="000807D1"/>
    <w:rsid w:val="000B3F43"/>
    <w:rsid w:val="00116C57"/>
    <w:rsid w:val="00140F6A"/>
    <w:rsid w:val="00167F6E"/>
    <w:rsid w:val="00173008"/>
    <w:rsid w:val="001973DE"/>
    <w:rsid w:val="001B3F3F"/>
    <w:rsid w:val="001D0904"/>
    <w:rsid w:val="001D5159"/>
    <w:rsid w:val="002142CC"/>
    <w:rsid w:val="00240AE9"/>
    <w:rsid w:val="002A1F13"/>
    <w:rsid w:val="002E51E4"/>
    <w:rsid w:val="002F3198"/>
    <w:rsid w:val="003320FB"/>
    <w:rsid w:val="00351317"/>
    <w:rsid w:val="0035768C"/>
    <w:rsid w:val="00367544"/>
    <w:rsid w:val="00371B6B"/>
    <w:rsid w:val="003E1B74"/>
    <w:rsid w:val="00454507"/>
    <w:rsid w:val="00480DE1"/>
    <w:rsid w:val="004B08D0"/>
    <w:rsid w:val="004B1D8F"/>
    <w:rsid w:val="004D0B33"/>
    <w:rsid w:val="004D5BDB"/>
    <w:rsid w:val="004F3410"/>
    <w:rsid w:val="00505DEA"/>
    <w:rsid w:val="0054059F"/>
    <w:rsid w:val="00547895"/>
    <w:rsid w:val="00591414"/>
    <w:rsid w:val="005A151E"/>
    <w:rsid w:val="005A328A"/>
    <w:rsid w:val="005B4878"/>
    <w:rsid w:val="005E7A56"/>
    <w:rsid w:val="0065583F"/>
    <w:rsid w:val="00665D93"/>
    <w:rsid w:val="006C555E"/>
    <w:rsid w:val="006E2A65"/>
    <w:rsid w:val="006E2AA1"/>
    <w:rsid w:val="00733D79"/>
    <w:rsid w:val="0075665E"/>
    <w:rsid w:val="00781FB1"/>
    <w:rsid w:val="007B5530"/>
    <w:rsid w:val="007D0380"/>
    <w:rsid w:val="007F2F43"/>
    <w:rsid w:val="008057F4"/>
    <w:rsid w:val="0081350D"/>
    <w:rsid w:val="00844ACD"/>
    <w:rsid w:val="00883035"/>
    <w:rsid w:val="0089723A"/>
    <w:rsid w:val="009034A9"/>
    <w:rsid w:val="00917E22"/>
    <w:rsid w:val="00933429"/>
    <w:rsid w:val="0095364C"/>
    <w:rsid w:val="00956664"/>
    <w:rsid w:val="00956ABE"/>
    <w:rsid w:val="00991A23"/>
    <w:rsid w:val="009B59A1"/>
    <w:rsid w:val="009B7162"/>
    <w:rsid w:val="009F2663"/>
    <w:rsid w:val="00A047C1"/>
    <w:rsid w:val="00A30058"/>
    <w:rsid w:val="00A7014B"/>
    <w:rsid w:val="00A81AC7"/>
    <w:rsid w:val="00A9068F"/>
    <w:rsid w:val="00B071A0"/>
    <w:rsid w:val="00B32C3D"/>
    <w:rsid w:val="00B333FF"/>
    <w:rsid w:val="00B349F2"/>
    <w:rsid w:val="00B80021"/>
    <w:rsid w:val="00B968E9"/>
    <w:rsid w:val="00BF4519"/>
    <w:rsid w:val="00C23D28"/>
    <w:rsid w:val="00C259EB"/>
    <w:rsid w:val="00C8782F"/>
    <w:rsid w:val="00CD3610"/>
    <w:rsid w:val="00CF12D7"/>
    <w:rsid w:val="00D043F9"/>
    <w:rsid w:val="00D05969"/>
    <w:rsid w:val="00D44086"/>
    <w:rsid w:val="00D448E8"/>
    <w:rsid w:val="00D45A3F"/>
    <w:rsid w:val="00D532B2"/>
    <w:rsid w:val="00D77150"/>
    <w:rsid w:val="00D84547"/>
    <w:rsid w:val="00DB77A4"/>
    <w:rsid w:val="00DF4C1A"/>
    <w:rsid w:val="00E048C9"/>
    <w:rsid w:val="00E21EE5"/>
    <w:rsid w:val="00E42698"/>
    <w:rsid w:val="00E81E56"/>
    <w:rsid w:val="00F068CE"/>
    <w:rsid w:val="00FC48E5"/>
    <w:rsid w:val="015D30B5"/>
    <w:rsid w:val="01FF1125"/>
    <w:rsid w:val="02982A38"/>
    <w:rsid w:val="0315275B"/>
    <w:rsid w:val="03C82EC7"/>
    <w:rsid w:val="04A869EF"/>
    <w:rsid w:val="08250666"/>
    <w:rsid w:val="08E17714"/>
    <w:rsid w:val="0B352167"/>
    <w:rsid w:val="104825EF"/>
    <w:rsid w:val="11A12738"/>
    <w:rsid w:val="123F625E"/>
    <w:rsid w:val="16702B35"/>
    <w:rsid w:val="1ADE0FDA"/>
    <w:rsid w:val="220628F4"/>
    <w:rsid w:val="22462599"/>
    <w:rsid w:val="26793886"/>
    <w:rsid w:val="27D453BC"/>
    <w:rsid w:val="29FE2B09"/>
    <w:rsid w:val="3194238B"/>
    <w:rsid w:val="33513A82"/>
    <w:rsid w:val="35846362"/>
    <w:rsid w:val="382976A2"/>
    <w:rsid w:val="38AE5ECB"/>
    <w:rsid w:val="395309B8"/>
    <w:rsid w:val="3DD77B5F"/>
    <w:rsid w:val="3DE8080C"/>
    <w:rsid w:val="3F912F34"/>
    <w:rsid w:val="46771B82"/>
    <w:rsid w:val="48D93F75"/>
    <w:rsid w:val="4B7F4B37"/>
    <w:rsid w:val="4DAB3476"/>
    <w:rsid w:val="4EA86F2A"/>
    <w:rsid w:val="4F3677C6"/>
    <w:rsid w:val="4FAD6010"/>
    <w:rsid w:val="4FD2325F"/>
    <w:rsid w:val="516F212B"/>
    <w:rsid w:val="52605900"/>
    <w:rsid w:val="53D90049"/>
    <w:rsid w:val="558E7557"/>
    <w:rsid w:val="559A4F42"/>
    <w:rsid w:val="57A827B7"/>
    <w:rsid w:val="596809CC"/>
    <w:rsid w:val="59766425"/>
    <w:rsid w:val="5B2373B2"/>
    <w:rsid w:val="5CE81F74"/>
    <w:rsid w:val="5D343D64"/>
    <w:rsid w:val="5E2F3C45"/>
    <w:rsid w:val="5EA47A7A"/>
    <w:rsid w:val="626358BA"/>
    <w:rsid w:val="635A72DF"/>
    <w:rsid w:val="639D31F2"/>
    <w:rsid w:val="65422D6F"/>
    <w:rsid w:val="660D487D"/>
    <w:rsid w:val="693E7041"/>
    <w:rsid w:val="6BBD539F"/>
    <w:rsid w:val="6F9B5175"/>
    <w:rsid w:val="70C37854"/>
    <w:rsid w:val="778C0CDE"/>
    <w:rsid w:val="79962632"/>
    <w:rsid w:val="7B3B6291"/>
    <w:rsid w:val="7C60646E"/>
    <w:rsid w:val="7E4F2BF0"/>
    <w:rsid w:val="7E563483"/>
    <w:rsid w:val="7F3F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styleId="10">
    <w:name w:val="FollowedHyperlink"/>
    <w:basedOn w:val="8"/>
    <w:qFormat/>
    <w:uiPriority w:val="99"/>
    <w:rPr>
      <w:color w:val="000000"/>
      <w:u w:val="none"/>
    </w:rPr>
  </w:style>
  <w:style w:type="character" w:styleId="11">
    <w:name w:val="Hyperlink"/>
    <w:basedOn w:val="8"/>
    <w:qFormat/>
    <w:uiPriority w:val="99"/>
    <w:rPr>
      <w:color w:val="000000"/>
      <w:u w:val="none"/>
    </w:rPr>
  </w:style>
  <w:style w:type="paragraph" w:customStyle="1" w:styleId="12">
    <w:name w:val="列出段落1"/>
    <w:basedOn w:val="1"/>
    <w:qFormat/>
    <w:uiPriority w:val="34"/>
    <w:pPr>
      <w:ind w:firstLine="420" w:firstLineChars="200"/>
    </w:pPr>
  </w:style>
  <w:style w:type="paragraph" w:customStyle="1" w:styleId="13">
    <w:name w:val="p15"/>
    <w:basedOn w:val="1"/>
    <w:qFormat/>
    <w:uiPriority w:val="0"/>
    <w:pPr>
      <w:widowControl/>
    </w:pPr>
    <w:rPr>
      <w:rFonts w:ascii="Calibri" w:hAnsi="Calibri" w:eastAsia="宋体" w:cs="宋体"/>
      <w:kern w:val="0"/>
      <w:szCs w:val="21"/>
    </w:rPr>
  </w:style>
  <w:style w:type="character" w:customStyle="1" w:styleId="14">
    <w:name w:val="font41"/>
    <w:basedOn w:val="8"/>
    <w:qFormat/>
    <w:uiPriority w:val="0"/>
    <w:rPr>
      <w:rFonts w:hint="eastAsia" w:ascii="宋体" w:hAnsi="宋体" w:eastAsia="宋体" w:cs="宋体"/>
      <w:color w:val="000000"/>
      <w:sz w:val="22"/>
      <w:szCs w:val="22"/>
      <w:u w:val="none"/>
    </w:rPr>
  </w:style>
  <w:style w:type="character" w:customStyle="1" w:styleId="15">
    <w:name w:val="font31"/>
    <w:basedOn w:val="8"/>
    <w:qFormat/>
    <w:uiPriority w:val="0"/>
    <w:rPr>
      <w:rFonts w:hint="default" w:ascii="Times New Roman" w:hAnsi="Times New Roman" w:cs="Times New Roman"/>
      <w:color w:val="000000"/>
      <w:sz w:val="22"/>
      <w:szCs w:val="22"/>
      <w:u w:val="none"/>
    </w:rPr>
  </w:style>
  <w:style w:type="paragraph" w:customStyle="1" w:styleId="16">
    <w:name w:val="样式 正文11 + 首行缩进:  2 字符"/>
    <w:basedOn w:val="1"/>
    <w:qFormat/>
    <w:uiPriority w:val="0"/>
    <w:pPr>
      <w:spacing w:line="500" w:lineRule="exact"/>
      <w:ind w:firstLine="560" w:firstLineChars="200"/>
    </w:pPr>
    <w:rPr>
      <w:rFonts w:ascii="宋体" w:hAnsi="宋体" w:cs="宋体"/>
      <w:color w:val="000000"/>
      <w:sz w:val="28"/>
      <w:szCs w:val="20"/>
    </w:rPr>
  </w:style>
  <w:style w:type="character" w:customStyle="1" w:styleId="17">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42C1A-962B-4131-A2FE-A6801FDA6E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87</Pages>
  <Words>6834</Words>
  <Characters>38960</Characters>
  <Lines>324</Lines>
  <Paragraphs>91</Paragraphs>
  <TotalTime>10</TotalTime>
  <ScaleCrop>false</ScaleCrop>
  <LinksUpToDate>false</LinksUpToDate>
  <CharactersWithSpaces>45703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2018-12-16T11:24:00Z</dcterms:created>
  <dc:creator>Administrator</dc:creator>
  <cp:lastModifiedBy>Lenovo</cp:lastModifiedBy>
  <cp:lastPrinted>2018-12-29T01:34:00Z</cp:lastPrinted>
  <dcterms:modified xsi:type="dcterms:W3CDTF">2023-03-20T09:31:17Z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41CFC17CD2A74328B5CE14B6EB530304_13</vt:lpwstr>
  </property>
</Properties>
</file>