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4225"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708"/>
        <w:gridCol w:w="1499"/>
        <w:gridCol w:w="2388"/>
        <w:gridCol w:w="5889"/>
        <w:gridCol w:w="2945"/>
        <w:gridCol w:w="796"/>
      </w:tblGrid>
      <w:tr w14:paraId="5D3D50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42" w:hRule="atLeast"/>
          <w:jc w:val="center"/>
        </w:trPr>
        <w:tc>
          <w:tcPr>
            <w:tcW w:w="14225" w:type="dxa"/>
            <w:gridSpan w:val="6"/>
            <w:tcBorders>
              <w:top w:val="nil"/>
              <w:left w:val="nil"/>
              <w:bottom w:val="single" w:color="auto" w:sz="4" w:space="0"/>
              <w:right w:val="nil"/>
            </w:tcBorders>
            <w:vAlign w:val="bottom"/>
          </w:tcPr>
          <w:p w14:paraId="4CC11DB9">
            <w:pPr>
              <w:wordWrap w:val="0"/>
              <w:spacing w:before="0" w:after="0" w:line="160" w:lineRule="atLeast"/>
              <w:ind w:left="0" w:right="0"/>
              <w:jc w:val="center"/>
              <w:textAlignment w:val="baseline"/>
              <w:rPr>
                <w:sz w:val="12"/>
              </w:rPr>
            </w:pPr>
            <w:r>
              <w:rPr>
                <w:rFonts w:hint="eastAsia" w:ascii="方正小标宋简体" w:hAnsi="方正小标宋简体" w:eastAsia="方正小标宋简体" w:cs="方正小标宋简体"/>
                <w:b w:val="0"/>
                <w:i w:val="0"/>
                <w:strike w:val="0"/>
                <w:color w:val="000000"/>
                <w:sz w:val="44"/>
                <w:szCs w:val="44"/>
                <w:lang w:val="en-US" w:eastAsia="zh-CN"/>
              </w:rPr>
              <w:t>大安市</w:t>
            </w:r>
            <w:r>
              <w:rPr>
                <w:rFonts w:hint="eastAsia" w:ascii="方正小标宋简体" w:hAnsi="方正小标宋简体" w:eastAsia="方正小标宋简体" w:cs="方正小标宋简体"/>
                <w:b w:val="0"/>
                <w:i w:val="0"/>
                <w:strike w:val="0"/>
                <w:color w:val="000000"/>
                <w:sz w:val="44"/>
                <w:szCs w:val="44"/>
              </w:rPr>
              <w:t>文化广播电视和旅游局行政处罚“首违不罚”事项清单</w:t>
            </w:r>
          </w:p>
        </w:tc>
      </w:tr>
      <w:tr w14:paraId="044DC73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58"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4074F4C3">
            <w:pPr>
              <w:wordWrap w:val="0"/>
              <w:spacing w:before="0" w:after="0" w:line="160" w:lineRule="atLeast"/>
              <w:ind w:left="0" w:right="0"/>
              <w:jc w:val="center"/>
              <w:textAlignment w:val="baseline"/>
              <w:rPr>
                <w:rFonts w:hint="eastAsia" w:ascii="黑体" w:hAnsi="黑体" w:eastAsia="黑体" w:cs="黑体"/>
                <w:sz w:val="28"/>
                <w:szCs w:val="28"/>
              </w:rPr>
            </w:pPr>
            <w:r>
              <w:rPr>
                <w:rFonts w:hint="eastAsia" w:ascii="黑体" w:hAnsi="黑体" w:eastAsia="黑体" w:cs="黑体"/>
                <w:b w:val="0"/>
                <w:i w:val="0"/>
                <w:strike w:val="0"/>
                <w:color w:val="000000"/>
                <w:sz w:val="28"/>
                <w:szCs w:val="28"/>
              </w:rPr>
              <w:t>序号</w:t>
            </w:r>
          </w:p>
        </w:tc>
        <w:tc>
          <w:tcPr>
            <w:tcW w:w="1499" w:type="dxa"/>
            <w:tcBorders>
              <w:top w:val="single" w:color="auto" w:sz="4" w:space="0"/>
              <w:left w:val="single" w:color="auto" w:sz="4" w:space="0"/>
              <w:bottom w:val="single" w:color="auto" w:sz="4" w:space="0"/>
              <w:right w:val="single" w:color="auto" w:sz="4" w:space="0"/>
            </w:tcBorders>
            <w:vAlign w:val="center"/>
          </w:tcPr>
          <w:p w14:paraId="7077E826">
            <w:pPr>
              <w:wordWrap w:val="0"/>
              <w:spacing w:before="0" w:after="0" w:line="160" w:lineRule="atLeast"/>
              <w:ind w:left="0" w:right="0"/>
              <w:jc w:val="center"/>
              <w:textAlignment w:val="baseline"/>
              <w:rPr>
                <w:rFonts w:hint="eastAsia" w:ascii="黑体" w:hAnsi="黑体" w:eastAsia="黑体" w:cs="黑体"/>
                <w:sz w:val="28"/>
                <w:szCs w:val="28"/>
              </w:rPr>
            </w:pPr>
            <w:r>
              <w:rPr>
                <w:rFonts w:hint="eastAsia" w:ascii="黑体" w:hAnsi="黑体" w:eastAsia="黑体" w:cs="黑体"/>
                <w:b w:val="0"/>
                <w:i w:val="0"/>
                <w:strike w:val="0"/>
                <w:color w:val="000000"/>
                <w:sz w:val="28"/>
                <w:szCs w:val="28"/>
              </w:rPr>
              <w:t>行政机关</w:t>
            </w:r>
          </w:p>
        </w:tc>
        <w:tc>
          <w:tcPr>
            <w:tcW w:w="2388" w:type="dxa"/>
            <w:tcBorders>
              <w:top w:val="single" w:color="auto" w:sz="4" w:space="0"/>
              <w:left w:val="single" w:color="auto" w:sz="4" w:space="0"/>
              <w:bottom w:val="single" w:color="auto" w:sz="4" w:space="0"/>
              <w:right w:val="single" w:color="auto" w:sz="4" w:space="0"/>
            </w:tcBorders>
            <w:vAlign w:val="center"/>
          </w:tcPr>
          <w:p w14:paraId="70515F32">
            <w:pPr>
              <w:wordWrap w:val="0"/>
              <w:spacing w:before="0" w:after="0" w:line="160" w:lineRule="atLeast"/>
              <w:ind w:left="0" w:right="0"/>
              <w:jc w:val="center"/>
              <w:textAlignment w:val="baseline"/>
              <w:rPr>
                <w:rFonts w:hint="eastAsia" w:ascii="黑体" w:hAnsi="黑体" w:eastAsia="黑体" w:cs="黑体"/>
                <w:sz w:val="28"/>
                <w:szCs w:val="28"/>
              </w:rPr>
            </w:pPr>
            <w:r>
              <w:rPr>
                <w:rFonts w:hint="eastAsia" w:ascii="黑体" w:hAnsi="黑体" w:eastAsia="黑体" w:cs="黑体"/>
                <w:b w:val="0"/>
                <w:i w:val="0"/>
                <w:strike w:val="0"/>
                <w:color w:val="000000"/>
                <w:sz w:val="28"/>
                <w:szCs w:val="28"/>
              </w:rPr>
              <w:t>“首违不罚”</w:t>
            </w:r>
            <w:r>
              <w:rPr>
                <w:rFonts w:hint="eastAsia" w:ascii="黑体" w:hAnsi="黑体" w:eastAsia="黑体" w:cs="黑体"/>
                <w:b w:val="0"/>
                <w:i w:val="0"/>
                <w:strike w:val="0"/>
                <w:color w:val="000000"/>
                <w:sz w:val="28"/>
                <w:szCs w:val="28"/>
                <w:lang w:val="en-US" w:eastAsia="zh-CN"/>
              </w:rPr>
              <w:t xml:space="preserve"> </w:t>
            </w:r>
            <w:r>
              <w:rPr>
                <w:rFonts w:hint="eastAsia" w:ascii="黑体" w:hAnsi="黑体" w:eastAsia="黑体" w:cs="黑体"/>
                <w:b w:val="0"/>
                <w:i w:val="0"/>
                <w:strike w:val="0"/>
                <w:color w:val="000000"/>
                <w:sz w:val="28"/>
                <w:szCs w:val="28"/>
              </w:rPr>
              <w:t>事项</w:t>
            </w:r>
          </w:p>
        </w:tc>
        <w:tc>
          <w:tcPr>
            <w:tcW w:w="5889" w:type="dxa"/>
            <w:tcBorders>
              <w:top w:val="single" w:color="auto" w:sz="4" w:space="0"/>
              <w:left w:val="single" w:color="auto" w:sz="4" w:space="0"/>
              <w:bottom w:val="single" w:color="auto" w:sz="4" w:space="0"/>
              <w:right w:val="single" w:color="auto" w:sz="4" w:space="0"/>
            </w:tcBorders>
            <w:vAlign w:val="center"/>
          </w:tcPr>
          <w:p w14:paraId="23B9E643">
            <w:pPr>
              <w:wordWrap w:val="0"/>
              <w:spacing w:before="0" w:after="0" w:line="160" w:lineRule="atLeast"/>
              <w:ind w:left="0" w:right="0"/>
              <w:jc w:val="center"/>
              <w:textAlignment w:val="baseline"/>
              <w:rPr>
                <w:rFonts w:hint="eastAsia" w:ascii="黑体" w:hAnsi="黑体" w:eastAsia="黑体" w:cs="黑体"/>
                <w:sz w:val="28"/>
                <w:szCs w:val="28"/>
              </w:rPr>
            </w:pPr>
            <w:r>
              <w:rPr>
                <w:rFonts w:hint="eastAsia" w:ascii="黑体" w:hAnsi="黑体" w:eastAsia="黑体" w:cs="黑体"/>
                <w:b w:val="0"/>
                <w:i w:val="0"/>
                <w:strike w:val="0"/>
                <w:color w:val="000000"/>
                <w:sz w:val="28"/>
                <w:szCs w:val="28"/>
              </w:rPr>
              <w:t>法律依据</w:t>
            </w:r>
          </w:p>
        </w:tc>
        <w:tc>
          <w:tcPr>
            <w:tcW w:w="2945" w:type="dxa"/>
            <w:tcBorders>
              <w:top w:val="single" w:color="auto" w:sz="4" w:space="0"/>
              <w:left w:val="single" w:color="auto" w:sz="4" w:space="0"/>
              <w:bottom w:val="single" w:color="auto" w:sz="4" w:space="0"/>
              <w:right w:val="single" w:color="auto" w:sz="4" w:space="0"/>
            </w:tcBorders>
            <w:vAlign w:val="center"/>
          </w:tcPr>
          <w:p w14:paraId="1C171F39">
            <w:pPr>
              <w:wordWrap w:val="0"/>
              <w:spacing w:before="0" w:after="0" w:line="160" w:lineRule="atLeast"/>
              <w:ind w:left="0" w:right="0"/>
              <w:jc w:val="center"/>
              <w:textAlignment w:val="baseline"/>
              <w:rPr>
                <w:rFonts w:hint="eastAsia" w:ascii="黑体" w:hAnsi="黑体" w:eastAsia="黑体" w:cs="黑体"/>
                <w:sz w:val="28"/>
                <w:szCs w:val="28"/>
              </w:rPr>
            </w:pPr>
            <w:r>
              <w:rPr>
                <w:rFonts w:hint="eastAsia" w:ascii="黑体" w:hAnsi="黑体" w:eastAsia="黑体" w:cs="黑体"/>
                <w:b w:val="0"/>
                <w:i w:val="0"/>
                <w:strike w:val="0"/>
                <w:color w:val="000000"/>
                <w:sz w:val="28"/>
                <w:szCs w:val="28"/>
              </w:rPr>
              <w:t>备注</w:t>
            </w:r>
          </w:p>
        </w:tc>
        <w:tc>
          <w:tcPr>
            <w:tcW w:w="796" w:type="dxa"/>
            <w:tcBorders>
              <w:top w:val="single" w:color="auto" w:sz="4" w:space="0"/>
              <w:left w:val="single" w:color="auto" w:sz="4" w:space="0"/>
              <w:bottom w:val="single" w:color="auto" w:sz="4" w:space="0"/>
              <w:right w:val="single" w:color="auto" w:sz="4" w:space="0"/>
            </w:tcBorders>
            <w:vAlign w:val="center"/>
          </w:tcPr>
          <w:p w14:paraId="5DB05D18">
            <w:pPr>
              <w:wordWrap w:val="0"/>
              <w:spacing w:before="0" w:after="0" w:line="160" w:lineRule="atLeast"/>
              <w:ind w:left="0" w:right="0"/>
              <w:jc w:val="center"/>
              <w:textAlignment w:val="baseline"/>
              <w:rPr>
                <w:rFonts w:hint="eastAsia" w:ascii="黑体" w:hAnsi="黑体" w:eastAsia="黑体" w:cs="黑体"/>
                <w:sz w:val="28"/>
                <w:szCs w:val="28"/>
              </w:rPr>
            </w:pPr>
            <w:r>
              <w:rPr>
                <w:rFonts w:hint="eastAsia" w:ascii="黑体" w:hAnsi="黑体" w:eastAsia="黑体" w:cs="黑体"/>
                <w:b w:val="0"/>
                <w:i w:val="0"/>
                <w:strike w:val="0"/>
                <w:color w:val="000000"/>
                <w:sz w:val="28"/>
                <w:szCs w:val="28"/>
              </w:rPr>
              <w:t>批次</w:t>
            </w:r>
          </w:p>
        </w:tc>
      </w:tr>
      <w:tr w14:paraId="30DCCC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80" w:hRule="atLeast"/>
          <w:jc w:val="center"/>
        </w:trPr>
        <w:tc>
          <w:tcPr>
            <w:tcW w:w="708" w:type="dxa"/>
            <w:tcBorders>
              <w:top w:val="single" w:color="auto" w:sz="4" w:space="0"/>
            </w:tcBorders>
            <w:vAlign w:val="center"/>
          </w:tcPr>
          <w:p w14:paraId="1A2F372A">
            <w:pPr>
              <w:wordWrap w:val="0"/>
              <w:spacing w:before="0" w:after="0" w:line="160" w:lineRule="atLeast"/>
              <w:ind w:left="0" w:right="0"/>
              <w:jc w:val="center"/>
              <w:textAlignment w:val="baseline"/>
              <w:rPr>
                <w:sz w:val="32"/>
                <w:szCs w:val="32"/>
              </w:rPr>
            </w:pPr>
            <w:r>
              <w:rPr>
                <w:rFonts w:ascii="宋体" w:hAnsi="宋体" w:eastAsia="宋体" w:cs="宋体"/>
                <w:b w:val="0"/>
                <w:i w:val="0"/>
                <w:strike w:val="0"/>
                <w:color w:val="000000"/>
                <w:sz w:val="32"/>
                <w:szCs w:val="32"/>
              </w:rPr>
              <w:t>1</w:t>
            </w:r>
          </w:p>
        </w:tc>
        <w:tc>
          <w:tcPr>
            <w:tcW w:w="1499" w:type="dxa"/>
            <w:tcBorders>
              <w:top w:val="single" w:color="auto" w:sz="4" w:space="0"/>
            </w:tcBorders>
            <w:vAlign w:val="center"/>
          </w:tcPr>
          <w:p w14:paraId="38A0DA69">
            <w:pPr>
              <w:wordWrap w:val="0"/>
              <w:spacing w:before="0" w:after="0" w:line="160" w:lineRule="atLeast"/>
              <w:ind w:left="0" w:right="0"/>
              <w:jc w:val="left"/>
              <w:textAlignment w:val="baseline"/>
              <w:rPr>
                <w:rFonts w:ascii="宋体" w:hAnsi="宋体" w:eastAsia="宋体" w:cs="宋体"/>
                <w:b w:val="0"/>
                <w:i w:val="0"/>
                <w:strike w:val="0"/>
                <w:color w:val="000000"/>
                <w:sz w:val="20"/>
                <w:szCs w:val="20"/>
              </w:rPr>
            </w:pPr>
            <w:r>
              <w:rPr>
                <w:rFonts w:hint="eastAsia" w:ascii="宋体" w:hAnsi="宋体" w:eastAsia="宋体" w:cs="宋体"/>
                <w:b w:val="0"/>
                <w:i w:val="0"/>
                <w:strike w:val="0"/>
                <w:color w:val="000000"/>
                <w:sz w:val="20"/>
                <w:szCs w:val="20"/>
                <w:lang w:val="en-US" w:eastAsia="zh-CN"/>
              </w:rPr>
              <w:t>大安市</w:t>
            </w:r>
            <w:r>
              <w:rPr>
                <w:rFonts w:ascii="宋体" w:hAnsi="宋体" w:eastAsia="宋体" w:cs="宋体"/>
                <w:b w:val="0"/>
                <w:i w:val="0"/>
                <w:strike w:val="0"/>
                <w:color w:val="000000"/>
                <w:sz w:val="20"/>
                <w:szCs w:val="20"/>
              </w:rPr>
              <w:t>文化广播电视和旅游局</w:t>
            </w:r>
          </w:p>
        </w:tc>
        <w:tc>
          <w:tcPr>
            <w:tcW w:w="2388" w:type="dxa"/>
            <w:tcBorders>
              <w:top w:val="single" w:color="auto" w:sz="4" w:space="0"/>
            </w:tcBorders>
            <w:vAlign w:val="center"/>
          </w:tcPr>
          <w:p w14:paraId="33B8ECA0">
            <w:pPr>
              <w:wordWrap w:val="0"/>
              <w:spacing w:before="0" w:after="0" w:line="160" w:lineRule="atLeast"/>
              <w:ind w:left="0" w:right="0"/>
              <w:jc w:val="left"/>
              <w:textAlignment w:val="baseline"/>
              <w:rPr>
                <w:rFonts w:ascii="宋体" w:hAnsi="宋体" w:eastAsia="宋体" w:cs="宋体"/>
                <w:b w:val="0"/>
                <w:i w:val="0"/>
                <w:strike w:val="0"/>
                <w:color w:val="000000"/>
                <w:sz w:val="20"/>
                <w:szCs w:val="20"/>
              </w:rPr>
            </w:pPr>
            <w:r>
              <w:rPr>
                <w:rFonts w:ascii="宋体" w:hAnsi="宋体" w:eastAsia="宋体" w:cs="宋体"/>
                <w:b w:val="0"/>
                <w:i w:val="0"/>
                <w:strike w:val="0"/>
                <w:color w:val="000000"/>
                <w:sz w:val="20"/>
                <w:szCs w:val="20"/>
              </w:rPr>
              <w:t>在广播电视设施保护范围内种植树木、农作物</w:t>
            </w:r>
          </w:p>
        </w:tc>
        <w:tc>
          <w:tcPr>
            <w:tcW w:w="5889" w:type="dxa"/>
            <w:tcBorders>
              <w:top w:val="single" w:color="auto" w:sz="4" w:space="0"/>
            </w:tcBorders>
            <w:vAlign w:val="center"/>
          </w:tcPr>
          <w:p w14:paraId="579C6A80">
            <w:pPr>
              <w:wordWrap w:val="0"/>
              <w:spacing w:before="0" w:after="0" w:line="160" w:lineRule="atLeast"/>
              <w:ind w:left="0" w:right="0"/>
              <w:jc w:val="left"/>
              <w:textAlignment w:val="baseline"/>
              <w:rPr>
                <w:rFonts w:ascii="宋体" w:hAnsi="宋体" w:eastAsia="宋体" w:cs="宋体"/>
                <w:b w:val="0"/>
                <w:i w:val="0"/>
                <w:strike w:val="0"/>
                <w:color w:val="000000"/>
                <w:sz w:val="20"/>
                <w:szCs w:val="20"/>
              </w:rPr>
            </w:pPr>
            <w:r>
              <w:rPr>
                <w:rFonts w:ascii="宋体" w:hAnsi="宋体" w:eastAsia="宋体" w:cs="宋体"/>
                <w:b w:val="0"/>
                <w:i w:val="0"/>
                <w:strike w:val="0"/>
                <w:color w:val="000000"/>
                <w:sz w:val="20"/>
                <w:szCs w:val="20"/>
              </w:rPr>
              <w:t>处罚依据:《中华人民共和国行政处罚法》第二十八条、第三十三条、第五十七条第一款(二)项,《广播电视设施保护条例》第二十二条,《吉林省广播电视设施保护条例》第二十四条。</w:t>
            </w:r>
          </w:p>
          <w:p w14:paraId="1C5FDEB9">
            <w:pPr>
              <w:wordWrap w:val="0"/>
              <w:spacing w:before="0" w:after="0" w:line="160" w:lineRule="atLeast"/>
              <w:ind w:left="0" w:right="0"/>
              <w:jc w:val="left"/>
              <w:textAlignment w:val="baseline"/>
              <w:rPr>
                <w:rFonts w:hint="eastAsia" w:ascii="宋体" w:hAnsi="宋体" w:eastAsia="宋体" w:cs="宋体"/>
                <w:b w:val="0"/>
                <w:i w:val="0"/>
                <w:strike w:val="0"/>
                <w:color w:val="000000"/>
                <w:sz w:val="20"/>
                <w:szCs w:val="20"/>
                <w:lang w:val="en-US" w:eastAsia="zh-CN"/>
              </w:rPr>
            </w:pPr>
            <w:r>
              <w:rPr>
                <w:rFonts w:ascii="宋体" w:hAnsi="宋体" w:eastAsia="宋体" w:cs="宋体"/>
                <w:b w:val="0"/>
                <w:i w:val="0"/>
                <w:strike w:val="0"/>
                <w:color w:val="000000"/>
                <w:sz w:val="20"/>
                <w:szCs w:val="20"/>
              </w:rPr>
              <w:t>首违免罚依据:《中华人民共和国行政处罚法》第三十三条</w:t>
            </w:r>
            <w:r>
              <w:rPr>
                <w:rFonts w:hint="eastAsia" w:ascii="宋体" w:hAnsi="宋体" w:eastAsia="宋体" w:cs="宋体"/>
                <w:b w:val="0"/>
                <w:i w:val="0"/>
                <w:strike w:val="0"/>
                <w:color w:val="000000"/>
                <w:sz w:val="20"/>
                <w:szCs w:val="20"/>
                <w:lang w:eastAsia="zh-CN"/>
              </w:rPr>
              <w:t>，</w:t>
            </w:r>
            <w:r>
              <w:rPr>
                <w:rFonts w:ascii="宋体" w:hAnsi="宋体" w:eastAsia="宋体" w:cs="宋体"/>
                <w:b w:val="0"/>
                <w:i w:val="0"/>
                <w:strike w:val="0"/>
                <w:color w:val="000000"/>
                <w:sz w:val="20"/>
                <w:szCs w:val="20"/>
              </w:rPr>
              <w:t>违法行为轻微并及时改正, 没有造成危害后果的, 不予行政处罚。初次违法且危害后果轻微并及时改正的, 可以不予行政处罚</w:t>
            </w:r>
            <w:r>
              <w:rPr>
                <w:rFonts w:hint="eastAsia" w:ascii="宋体" w:hAnsi="宋体" w:eastAsia="宋体" w:cs="宋体"/>
                <w:b w:val="0"/>
                <w:i w:val="0"/>
                <w:strike w:val="0"/>
                <w:color w:val="000000"/>
                <w:sz w:val="20"/>
                <w:szCs w:val="20"/>
                <w:lang w:eastAsia="zh-CN"/>
              </w:rPr>
              <w:t>。</w:t>
            </w:r>
          </w:p>
        </w:tc>
        <w:tc>
          <w:tcPr>
            <w:tcW w:w="2945" w:type="dxa"/>
            <w:tcBorders>
              <w:top w:val="single" w:color="auto" w:sz="4" w:space="0"/>
            </w:tcBorders>
            <w:vAlign w:val="center"/>
          </w:tcPr>
          <w:p w14:paraId="69A31D82">
            <w:pPr>
              <w:wordWrap w:val="0"/>
              <w:spacing w:before="0" w:after="0" w:line="160" w:lineRule="atLeast"/>
              <w:ind w:left="0" w:right="0"/>
              <w:jc w:val="left"/>
              <w:textAlignment w:val="baseline"/>
              <w:rPr>
                <w:rFonts w:ascii="宋体" w:hAnsi="宋体" w:eastAsia="宋体" w:cs="宋体"/>
                <w:b w:val="0"/>
                <w:i w:val="0"/>
                <w:strike w:val="0"/>
                <w:color w:val="000000"/>
                <w:sz w:val="20"/>
                <w:szCs w:val="20"/>
              </w:rPr>
            </w:pPr>
            <w:r>
              <w:rPr>
                <w:rFonts w:ascii="宋体" w:hAnsi="宋体" w:eastAsia="宋体" w:cs="宋体"/>
                <w:b w:val="0"/>
                <w:i w:val="0"/>
                <w:strike w:val="0"/>
                <w:color w:val="000000"/>
                <w:sz w:val="20"/>
                <w:szCs w:val="20"/>
              </w:rPr>
              <w:t>当事人在广播电视设施保护范围内初次实施种植树木、农作物的违法行为,未对广播电视设施正常运行造成影响,并在行政执法机关限定期限内改正的。</w:t>
            </w:r>
          </w:p>
        </w:tc>
        <w:tc>
          <w:tcPr>
            <w:tcW w:w="796" w:type="dxa"/>
            <w:vMerge w:val="restart"/>
            <w:tcBorders>
              <w:top w:val="single" w:color="auto" w:sz="4" w:space="0"/>
            </w:tcBorders>
            <w:vAlign w:val="center"/>
          </w:tcPr>
          <w:p w14:paraId="3ED64B98">
            <w:pPr>
              <w:wordWrap w:val="0"/>
              <w:spacing w:before="0" w:after="0" w:line="160" w:lineRule="atLeast"/>
              <w:ind w:left="0" w:right="0"/>
              <w:jc w:val="center"/>
              <w:textAlignment w:val="baseline"/>
              <w:rPr>
                <w:sz w:val="15"/>
                <w:szCs w:val="15"/>
              </w:rPr>
            </w:pPr>
            <w:r>
              <w:rPr>
                <w:rFonts w:ascii="宋体" w:hAnsi="宋体" w:eastAsia="宋体" w:cs="宋体"/>
                <w:b w:val="0"/>
                <w:i w:val="0"/>
                <w:strike w:val="0"/>
                <w:color w:val="000000"/>
                <w:sz w:val="20"/>
                <w:szCs w:val="20"/>
              </w:rPr>
              <w:t>第一批</w:t>
            </w:r>
          </w:p>
        </w:tc>
      </w:tr>
      <w:tr w14:paraId="51F00D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60" w:hRule="atLeast"/>
          <w:jc w:val="center"/>
        </w:trPr>
        <w:tc>
          <w:tcPr>
            <w:tcW w:w="708" w:type="dxa"/>
            <w:vAlign w:val="center"/>
          </w:tcPr>
          <w:p w14:paraId="6703C841">
            <w:pPr>
              <w:wordWrap w:val="0"/>
              <w:spacing w:before="0" w:after="0" w:line="160" w:lineRule="atLeast"/>
              <w:ind w:left="0" w:right="0"/>
              <w:jc w:val="center"/>
              <w:textAlignment w:val="baseline"/>
              <w:rPr>
                <w:sz w:val="32"/>
                <w:szCs w:val="32"/>
              </w:rPr>
            </w:pPr>
            <w:r>
              <w:rPr>
                <w:rFonts w:ascii="宋体" w:hAnsi="宋体" w:eastAsia="宋体" w:cs="宋体"/>
                <w:b w:val="0"/>
                <w:i w:val="0"/>
                <w:strike w:val="0"/>
                <w:color w:val="000000"/>
                <w:sz w:val="32"/>
                <w:szCs w:val="32"/>
              </w:rPr>
              <w:t>2</w:t>
            </w:r>
          </w:p>
        </w:tc>
        <w:tc>
          <w:tcPr>
            <w:tcW w:w="1499" w:type="dxa"/>
            <w:vAlign w:val="center"/>
          </w:tcPr>
          <w:p w14:paraId="49BE02F5">
            <w:pPr>
              <w:wordWrap w:val="0"/>
              <w:spacing w:before="0" w:after="0" w:line="160" w:lineRule="atLeast"/>
              <w:ind w:left="0" w:right="0"/>
              <w:jc w:val="left"/>
              <w:textAlignment w:val="baseline"/>
              <w:rPr>
                <w:rFonts w:ascii="宋体" w:hAnsi="宋体" w:eastAsia="宋体" w:cs="宋体"/>
                <w:b w:val="0"/>
                <w:i w:val="0"/>
                <w:strike w:val="0"/>
                <w:color w:val="000000"/>
                <w:sz w:val="20"/>
                <w:szCs w:val="20"/>
              </w:rPr>
            </w:pPr>
            <w:r>
              <w:rPr>
                <w:rFonts w:hint="eastAsia" w:ascii="宋体" w:hAnsi="宋体" w:eastAsia="宋体" w:cs="宋体"/>
                <w:b w:val="0"/>
                <w:i w:val="0"/>
                <w:strike w:val="0"/>
                <w:color w:val="000000"/>
                <w:sz w:val="20"/>
                <w:szCs w:val="20"/>
                <w:lang w:val="en-US" w:eastAsia="zh-CN"/>
              </w:rPr>
              <w:t>大安市</w:t>
            </w:r>
            <w:r>
              <w:rPr>
                <w:rFonts w:ascii="宋体" w:hAnsi="宋体" w:eastAsia="宋体" w:cs="宋体"/>
                <w:b w:val="0"/>
                <w:i w:val="0"/>
                <w:strike w:val="0"/>
                <w:color w:val="000000"/>
                <w:sz w:val="20"/>
                <w:szCs w:val="20"/>
              </w:rPr>
              <w:t>文化广播电视和旅游局</w:t>
            </w:r>
          </w:p>
        </w:tc>
        <w:tc>
          <w:tcPr>
            <w:tcW w:w="2388" w:type="dxa"/>
            <w:vAlign w:val="center"/>
          </w:tcPr>
          <w:p w14:paraId="20D7F985">
            <w:pPr>
              <w:wordWrap w:val="0"/>
              <w:spacing w:before="0" w:after="0" w:line="160" w:lineRule="atLeast"/>
              <w:ind w:left="0" w:right="0"/>
              <w:jc w:val="left"/>
              <w:textAlignment w:val="baseline"/>
              <w:rPr>
                <w:rFonts w:ascii="宋体" w:hAnsi="宋体" w:eastAsia="宋体" w:cs="宋体"/>
                <w:b w:val="0"/>
                <w:i w:val="0"/>
                <w:strike w:val="0"/>
                <w:color w:val="000000"/>
                <w:sz w:val="20"/>
                <w:szCs w:val="20"/>
              </w:rPr>
            </w:pPr>
            <w:r>
              <w:rPr>
                <w:rFonts w:ascii="宋体" w:hAnsi="宋体" w:eastAsia="宋体" w:cs="宋体"/>
                <w:b w:val="0"/>
                <w:i w:val="0"/>
                <w:strike w:val="0"/>
                <w:color w:val="000000"/>
                <w:sz w:val="20"/>
                <w:szCs w:val="20"/>
              </w:rPr>
              <w:t>专网及定向传播视听节目服务单位的单位名称、办公场所、法定代表人依法变更后未及时向原发证机关备案</w:t>
            </w:r>
          </w:p>
        </w:tc>
        <w:tc>
          <w:tcPr>
            <w:tcW w:w="5889" w:type="dxa"/>
            <w:vAlign w:val="center"/>
          </w:tcPr>
          <w:p w14:paraId="55384A0E">
            <w:pPr>
              <w:wordWrap w:val="0"/>
              <w:spacing w:before="0" w:after="0" w:line="160" w:lineRule="atLeast"/>
              <w:ind w:left="0" w:right="0"/>
              <w:jc w:val="left"/>
              <w:textAlignment w:val="baseline"/>
              <w:rPr>
                <w:rFonts w:ascii="宋体" w:hAnsi="宋体" w:eastAsia="宋体" w:cs="宋体"/>
                <w:b w:val="0"/>
                <w:i w:val="0"/>
                <w:strike w:val="0"/>
                <w:color w:val="000000"/>
                <w:sz w:val="20"/>
                <w:szCs w:val="20"/>
              </w:rPr>
            </w:pPr>
            <w:r>
              <w:rPr>
                <w:rFonts w:ascii="宋体" w:hAnsi="宋体" w:eastAsia="宋体" w:cs="宋体"/>
                <w:b w:val="0"/>
                <w:i w:val="0"/>
                <w:strike w:val="0"/>
                <w:color w:val="000000"/>
                <w:sz w:val="20"/>
                <w:szCs w:val="20"/>
              </w:rPr>
              <w:t>处罚依据:《中华人民共和国行政处罚法》第二十八条、第三十三条、第五十七条第一款(二)项,《专网及定向传播视听节目服务管理规定》第三十条。</w:t>
            </w:r>
          </w:p>
          <w:p w14:paraId="1C275FE8">
            <w:pPr>
              <w:wordWrap w:val="0"/>
              <w:spacing w:before="0" w:after="0" w:line="160" w:lineRule="atLeast"/>
              <w:ind w:left="0" w:right="0"/>
              <w:jc w:val="left"/>
              <w:textAlignment w:val="baseline"/>
              <w:rPr>
                <w:rFonts w:ascii="宋体" w:hAnsi="宋体" w:eastAsia="宋体" w:cs="宋体"/>
                <w:b w:val="0"/>
                <w:i w:val="0"/>
                <w:strike w:val="0"/>
                <w:color w:val="000000"/>
                <w:sz w:val="20"/>
                <w:szCs w:val="20"/>
              </w:rPr>
            </w:pPr>
            <w:r>
              <w:rPr>
                <w:rFonts w:ascii="宋体" w:hAnsi="宋体" w:eastAsia="宋体" w:cs="宋体"/>
                <w:b w:val="0"/>
                <w:i w:val="0"/>
                <w:strike w:val="0"/>
                <w:color w:val="000000"/>
                <w:sz w:val="20"/>
                <w:szCs w:val="20"/>
              </w:rPr>
              <w:t>首违免罚依据:《中华人民共和国行政处罚法》第三十三条</w:t>
            </w:r>
            <w:r>
              <w:rPr>
                <w:rFonts w:hint="eastAsia" w:ascii="宋体" w:hAnsi="宋体" w:eastAsia="宋体" w:cs="宋体"/>
                <w:b w:val="0"/>
                <w:i w:val="0"/>
                <w:strike w:val="0"/>
                <w:color w:val="000000"/>
                <w:sz w:val="20"/>
                <w:szCs w:val="20"/>
                <w:lang w:eastAsia="zh-CN"/>
              </w:rPr>
              <w:t>，</w:t>
            </w:r>
            <w:r>
              <w:rPr>
                <w:rFonts w:ascii="宋体" w:hAnsi="宋体" w:eastAsia="宋体" w:cs="宋体"/>
                <w:b w:val="0"/>
                <w:i w:val="0"/>
                <w:strike w:val="0"/>
                <w:color w:val="000000"/>
                <w:sz w:val="20"/>
                <w:szCs w:val="20"/>
              </w:rPr>
              <w:t>违法行为轻微并及时改正, 没有造成危害后果的,不予行政处罚。初次违法且危害后果轻微并及时改正的,可以不予行政处罚。</w:t>
            </w:r>
          </w:p>
        </w:tc>
        <w:tc>
          <w:tcPr>
            <w:tcW w:w="2945" w:type="dxa"/>
            <w:vAlign w:val="center"/>
          </w:tcPr>
          <w:p w14:paraId="65447FC5">
            <w:pPr>
              <w:wordWrap w:val="0"/>
              <w:spacing w:before="0" w:after="0" w:line="160" w:lineRule="atLeast"/>
              <w:ind w:left="0" w:right="0"/>
              <w:jc w:val="left"/>
              <w:textAlignment w:val="baseline"/>
              <w:rPr>
                <w:rFonts w:ascii="宋体" w:hAnsi="宋体" w:eastAsia="宋体" w:cs="宋体"/>
                <w:b w:val="0"/>
                <w:i w:val="0"/>
                <w:strike w:val="0"/>
                <w:color w:val="000000"/>
                <w:sz w:val="20"/>
                <w:szCs w:val="20"/>
              </w:rPr>
            </w:pPr>
            <w:r>
              <w:rPr>
                <w:rFonts w:ascii="宋体" w:hAnsi="宋体" w:eastAsia="宋体" w:cs="宋体"/>
                <w:b w:val="0"/>
                <w:i w:val="0"/>
                <w:strike w:val="0"/>
                <w:color w:val="000000"/>
                <w:sz w:val="20"/>
                <w:szCs w:val="20"/>
              </w:rPr>
              <w:t>当事人初次依法变更单位名称、办公场所、法定代表人后,未在变更后15日内向原发证机关备案,在行政执法机关予以纠正后,能够在限牢期限内履行备案手续的。</w:t>
            </w:r>
          </w:p>
        </w:tc>
        <w:tc>
          <w:tcPr>
            <w:tcW w:w="796" w:type="dxa"/>
            <w:vMerge w:val="continue"/>
          </w:tcPr>
          <w:p w14:paraId="478EE844">
            <w:pPr>
              <w:jc w:val="center"/>
              <w:rPr>
                <w:sz w:val="15"/>
                <w:szCs w:val="15"/>
              </w:rPr>
            </w:pPr>
          </w:p>
        </w:tc>
      </w:tr>
      <w:tr w14:paraId="087C1C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540" w:hRule="atLeast"/>
          <w:jc w:val="center"/>
        </w:trPr>
        <w:tc>
          <w:tcPr>
            <w:tcW w:w="708" w:type="dxa"/>
            <w:vAlign w:val="center"/>
          </w:tcPr>
          <w:p w14:paraId="406B798E">
            <w:pPr>
              <w:wordWrap w:val="0"/>
              <w:spacing w:before="0" w:after="0" w:line="160" w:lineRule="atLeast"/>
              <w:ind w:left="0" w:right="0"/>
              <w:jc w:val="center"/>
              <w:textAlignment w:val="baseline"/>
              <w:rPr>
                <w:sz w:val="32"/>
                <w:szCs w:val="32"/>
              </w:rPr>
            </w:pPr>
            <w:r>
              <w:rPr>
                <w:rFonts w:ascii="宋体" w:hAnsi="宋体" w:eastAsia="宋体" w:cs="宋体"/>
                <w:b w:val="0"/>
                <w:i w:val="0"/>
                <w:strike w:val="0"/>
                <w:color w:val="000000"/>
                <w:sz w:val="32"/>
                <w:szCs w:val="32"/>
              </w:rPr>
              <w:t>3</w:t>
            </w:r>
          </w:p>
        </w:tc>
        <w:tc>
          <w:tcPr>
            <w:tcW w:w="1499" w:type="dxa"/>
            <w:vAlign w:val="center"/>
          </w:tcPr>
          <w:p w14:paraId="1BCC0F75">
            <w:pPr>
              <w:wordWrap w:val="0"/>
              <w:spacing w:before="0" w:after="0" w:line="160" w:lineRule="atLeast"/>
              <w:ind w:left="0" w:right="0"/>
              <w:jc w:val="left"/>
              <w:textAlignment w:val="baseline"/>
              <w:rPr>
                <w:rFonts w:ascii="宋体" w:hAnsi="宋体" w:eastAsia="宋体" w:cs="宋体"/>
                <w:b w:val="0"/>
                <w:i w:val="0"/>
                <w:strike w:val="0"/>
                <w:color w:val="000000"/>
                <w:sz w:val="20"/>
                <w:szCs w:val="20"/>
              </w:rPr>
            </w:pPr>
            <w:r>
              <w:rPr>
                <w:rFonts w:hint="eastAsia" w:ascii="宋体" w:hAnsi="宋体" w:eastAsia="宋体" w:cs="宋体"/>
                <w:b w:val="0"/>
                <w:i w:val="0"/>
                <w:strike w:val="0"/>
                <w:color w:val="000000"/>
                <w:sz w:val="20"/>
                <w:szCs w:val="20"/>
                <w:lang w:val="en-US" w:eastAsia="zh-CN"/>
              </w:rPr>
              <w:t>大安市</w:t>
            </w:r>
            <w:r>
              <w:rPr>
                <w:rFonts w:ascii="宋体" w:hAnsi="宋体" w:eastAsia="宋体" w:cs="宋体"/>
                <w:b w:val="0"/>
                <w:i w:val="0"/>
                <w:strike w:val="0"/>
                <w:color w:val="000000"/>
                <w:sz w:val="20"/>
                <w:szCs w:val="20"/>
              </w:rPr>
              <w:t>文化广播电视和旅游局</w:t>
            </w:r>
          </w:p>
        </w:tc>
        <w:tc>
          <w:tcPr>
            <w:tcW w:w="2388" w:type="dxa"/>
            <w:vAlign w:val="center"/>
          </w:tcPr>
          <w:p w14:paraId="37B25FC5">
            <w:pPr>
              <w:wordWrap w:val="0"/>
              <w:spacing w:before="0" w:after="0" w:line="160" w:lineRule="atLeast"/>
              <w:ind w:left="0" w:right="0"/>
              <w:jc w:val="left"/>
              <w:textAlignment w:val="baseline"/>
              <w:rPr>
                <w:rFonts w:ascii="宋体" w:hAnsi="宋体" w:eastAsia="宋体" w:cs="宋体"/>
                <w:b w:val="0"/>
                <w:i w:val="0"/>
                <w:strike w:val="0"/>
                <w:color w:val="000000"/>
                <w:sz w:val="20"/>
                <w:szCs w:val="20"/>
              </w:rPr>
            </w:pPr>
            <w:r>
              <w:rPr>
                <w:rFonts w:ascii="宋体" w:hAnsi="宋体" w:eastAsia="宋体" w:cs="宋体"/>
                <w:b w:val="0"/>
                <w:i w:val="0"/>
                <w:strike w:val="0"/>
                <w:color w:val="000000"/>
                <w:sz w:val="20"/>
                <w:szCs w:val="20"/>
              </w:rPr>
              <w:t>互联网上网服务营业场所经营单位未悬挂《网络文化经营许可证》</w:t>
            </w:r>
          </w:p>
        </w:tc>
        <w:tc>
          <w:tcPr>
            <w:tcW w:w="5889" w:type="dxa"/>
            <w:vAlign w:val="center"/>
          </w:tcPr>
          <w:p w14:paraId="518286BD">
            <w:pPr>
              <w:wordWrap w:val="0"/>
              <w:spacing w:before="0" w:after="0" w:line="160" w:lineRule="atLeast"/>
              <w:ind w:left="0" w:right="0"/>
              <w:jc w:val="left"/>
              <w:textAlignment w:val="baseline"/>
              <w:rPr>
                <w:rFonts w:ascii="宋体" w:hAnsi="宋体" w:eastAsia="宋体" w:cs="宋体"/>
                <w:b w:val="0"/>
                <w:i w:val="0"/>
                <w:strike w:val="0"/>
                <w:color w:val="000000"/>
                <w:sz w:val="20"/>
                <w:szCs w:val="20"/>
              </w:rPr>
            </w:pPr>
            <w:r>
              <w:rPr>
                <w:rFonts w:ascii="宋体" w:hAnsi="宋体" w:eastAsia="宋体" w:cs="宋体"/>
                <w:b w:val="0"/>
                <w:i w:val="0"/>
                <w:strike w:val="0"/>
                <w:color w:val="000000"/>
                <w:sz w:val="20"/>
                <w:szCs w:val="20"/>
              </w:rPr>
              <w:t>处罚依据:《互联网上网服务营业场所管理条例》第三十一条: 互联网上网服务营业场所经营单位违反本条例的规定,有下列行为之一的,由文化行政部门给予警告,可以并处15000元以下的罚款;情节严重的,责令停业整顿,直至吊销《网络文化经营许可证》: (五)未悬挂《网络文化经营许可证》或者未成年人禁入标志的。</w:t>
            </w:r>
          </w:p>
          <w:p w14:paraId="7F097D0F">
            <w:pPr>
              <w:wordWrap w:val="0"/>
              <w:spacing w:before="0" w:after="0" w:line="160" w:lineRule="atLeast"/>
              <w:ind w:left="0" w:right="0"/>
              <w:jc w:val="left"/>
              <w:textAlignment w:val="baseline"/>
              <w:rPr>
                <w:rFonts w:ascii="宋体" w:hAnsi="宋体" w:eastAsia="宋体" w:cs="宋体"/>
                <w:b w:val="0"/>
                <w:i w:val="0"/>
                <w:strike w:val="0"/>
                <w:color w:val="000000"/>
                <w:sz w:val="20"/>
                <w:szCs w:val="20"/>
              </w:rPr>
            </w:pPr>
            <w:r>
              <w:rPr>
                <w:rFonts w:ascii="宋体" w:hAnsi="宋体" w:eastAsia="宋体" w:cs="宋体"/>
                <w:b w:val="0"/>
                <w:i w:val="0"/>
                <w:strike w:val="0"/>
                <w:color w:val="000000"/>
                <w:sz w:val="20"/>
                <w:szCs w:val="20"/>
              </w:rPr>
              <w:t>首违免罚依据:《中华人民共和国行政处罚法》第三十三条违法行为轻微并及时改正,没有造成危害后果的, 不予行政处罚。初次违法且危害后果轻微并及时改正的, 可以不予行政处罚。</w:t>
            </w:r>
          </w:p>
        </w:tc>
        <w:tc>
          <w:tcPr>
            <w:tcW w:w="2945" w:type="dxa"/>
            <w:vAlign w:val="center"/>
          </w:tcPr>
          <w:p w14:paraId="3D026265">
            <w:pPr>
              <w:wordWrap w:val="0"/>
              <w:spacing w:before="0" w:after="0" w:line="160" w:lineRule="atLeast"/>
              <w:ind w:left="0" w:right="0"/>
              <w:jc w:val="left"/>
              <w:textAlignment w:val="baseline"/>
              <w:rPr>
                <w:rFonts w:ascii="宋体" w:hAnsi="宋体" w:eastAsia="宋体" w:cs="宋体"/>
                <w:b w:val="0"/>
                <w:i w:val="0"/>
                <w:strike w:val="0"/>
                <w:color w:val="000000"/>
                <w:sz w:val="20"/>
                <w:szCs w:val="20"/>
              </w:rPr>
            </w:pPr>
            <w:r>
              <w:rPr>
                <w:rFonts w:ascii="宋体" w:hAnsi="宋体" w:eastAsia="宋体" w:cs="宋体"/>
                <w:b w:val="0"/>
                <w:i w:val="0"/>
                <w:strike w:val="0"/>
                <w:color w:val="000000"/>
                <w:sz w:val="20"/>
                <w:szCs w:val="20"/>
              </w:rPr>
              <w:t>初次违法且危害后果轻微,并及时改正的。</w:t>
            </w:r>
          </w:p>
        </w:tc>
        <w:tc>
          <w:tcPr>
            <w:tcW w:w="796" w:type="dxa"/>
            <w:vMerge w:val="restart"/>
            <w:vAlign w:val="center"/>
          </w:tcPr>
          <w:p w14:paraId="4484A656">
            <w:pPr>
              <w:wordWrap w:val="0"/>
              <w:spacing w:before="0" w:after="0" w:line="160" w:lineRule="atLeast"/>
              <w:ind w:left="0" w:right="0"/>
              <w:jc w:val="center"/>
              <w:textAlignment w:val="baseline"/>
              <w:rPr>
                <w:sz w:val="15"/>
                <w:szCs w:val="15"/>
              </w:rPr>
            </w:pPr>
            <w:r>
              <w:rPr>
                <w:rFonts w:ascii="宋体" w:hAnsi="宋体" w:eastAsia="宋体" w:cs="宋体"/>
                <w:b w:val="0"/>
                <w:i w:val="0"/>
                <w:strike w:val="0"/>
                <w:color w:val="000000"/>
                <w:sz w:val="20"/>
                <w:szCs w:val="20"/>
              </w:rPr>
              <w:t>第二批</w:t>
            </w:r>
          </w:p>
        </w:tc>
      </w:tr>
      <w:tr w14:paraId="27E7335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4" w:hRule="atLeast"/>
          <w:jc w:val="center"/>
        </w:trPr>
        <w:tc>
          <w:tcPr>
            <w:tcW w:w="708" w:type="dxa"/>
            <w:vAlign w:val="center"/>
          </w:tcPr>
          <w:p w14:paraId="58455F3B">
            <w:pPr>
              <w:wordWrap w:val="0"/>
              <w:spacing w:before="0" w:after="0" w:line="160" w:lineRule="atLeast"/>
              <w:ind w:left="0" w:right="0"/>
              <w:jc w:val="center"/>
              <w:textAlignment w:val="baseline"/>
              <w:rPr>
                <w:sz w:val="32"/>
                <w:szCs w:val="32"/>
              </w:rPr>
            </w:pPr>
            <w:r>
              <w:rPr>
                <w:rFonts w:ascii="宋体" w:hAnsi="宋体" w:eastAsia="宋体" w:cs="宋体"/>
                <w:b w:val="0"/>
                <w:i w:val="0"/>
                <w:strike w:val="0"/>
                <w:color w:val="000000"/>
                <w:sz w:val="32"/>
                <w:szCs w:val="32"/>
              </w:rPr>
              <w:t>4</w:t>
            </w:r>
          </w:p>
        </w:tc>
        <w:tc>
          <w:tcPr>
            <w:tcW w:w="1499" w:type="dxa"/>
            <w:vAlign w:val="center"/>
          </w:tcPr>
          <w:p w14:paraId="2DD5135F">
            <w:pPr>
              <w:wordWrap w:val="0"/>
              <w:spacing w:before="0" w:after="0" w:line="160" w:lineRule="atLeast"/>
              <w:ind w:left="0" w:right="0"/>
              <w:jc w:val="left"/>
              <w:textAlignment w:val="baseline"/>
              <w:rPr>
                <w:rFonts w:ascii="宋体" w:hAnsi="宋体" w:eastAsia="宋体" w:cs="宋体"/>
                <w:b w:val="0"/>
                <w:i w:val="0"/>
                <w:strike w:val="0"/>
                <w:color w:val="000000"/>
                <w:sz w:val="20"/>
                <w:szCs w:val="20"/>
              </w:rPr>
            </w:pPr>
            <w:r>
              <w:rPr>
                <w:rFonts w:hint="eastAsia" w:ascii="宋体" w:hAnsi="宋体" w:eastAsia="宋体" w:cs="宋体"/>
                <w:b w:val="0"/>
                <w:i w:val="0"/>
                <w:strike w:val="0"/>
                <w:color w:val="000000"/>
                <w:sz w:val="20"/>
                <w:szCs w:val="20"/>
                <w:lang w:val="en-US" w:eastAsia="zh-CN"/>
              </w:rPr>
              <w:t>大安市</w:t>
            </w:r>
            <w:r>
              <w:rPr>
                <w:rFonts w:ascii="宋体" w:hAnsi="宋体" w:eastAsia="宋体" w:cs="宋体"/>
                <w:b w:val="0"/>
                <w:i w:val="0"/>
                <w:strike w:val="0"/>
                <w:color w:val="000000"/>
                <w:sz w:val="20"/>
                <w:szCs w:val="20"/>
              </w:rPr>
              <w:t>文化广播电视和旅游局</w:t>
            </w:r>
          </w:p>
        </w:tc>
        <w:tc>
          <w:tcPr>
            <w:tcW w:w="2388" w:type="dxa"/>
            <w:vAlign w:val="center"/>
          </w:tcPr>
          <w:p w14:paraId="7CC88A98">
            <w:pPr>
              <w:wordWrap w:val="0"/>
              <w:spacing w:before="0" w:after="0" w:line="160" w:lineRule="atLeast"/>
              <w:ind w:left="0" w:right="0"/>
              <w:jc w:val="left"/>
              <w:textAlignment w:val="baseline"/>
              <w:rPr>
                <w:rFonts w:ascii="宋体" w:hAnsi="宋体" w:eastAsia="宋体" w:cs="宋体"/>
                <w:b w:val="0"/>
                <w:i w:val="0"/>
                <w:strike w:val="0"/>
                <w:color w:val="000000"/>
                <w:sz w:val="20"/>
                <w:szCs w:val="20"/>
              </w:rPr>
            </w:pPr>
            <w:r>
              <w:rPr>
                <w:rFonts w:ascii="宋体" w:hAnsi="宋体" w:eastAsia="宋体" w:cs="宋体"/>
                <w:b w:val="0"/>
                <w:i w:val="0"/>
                <w:strike w:val="0"/>
                <w:color w:val="000000"/>
                <w:sz w:val="20"/>
                <w:szCs w:val="20"/>
              </w:rPr>
              <w:t>娱乐场所丛业人员在营业期间未统一着装并佩带工作标志的</w:t>
            </w:r>
          </w:p>
        </w:tc>
        <w:tc>
          <w:tcPr>
            <w:tcW w:w="5889" w:type="dxa"/>
            <w:vAlign w:val="center"/>
          </w:tcPr>
          <w:p w14:paraId="3B9737B8">
            <w:pPr>
              <w:wordWrap w:val="0"/>
              <w:spacing w:before="0" w:after="0" w:line="160" w:lineRule="atLeast"/>
              <w:ind w:left="0" w:right="0"/>
              <w:jc w:val="left"/>
              <w:textAlignment w:val="baseline"/>
              <w:rPr>
                <w:rFonts w:ascii="宋体" w:hAnsi="宋体" w:eastAsia="宋体" w:cs="宋体"/>
                <w:b w:val="0"/>
                <w:i w:val="0"/>
                <w:strike w:val="0"/>
                <w:color w:val="000000"/>
                <w:sz w:val="20"/>
                <w:szCs w:val="20"/>
              </w:rPr>
            </w:pPr>
            <w:r>
              <w:rPr>
                <w:rFonts w:ascii="宋体" w:hAnsi="宋体" w:eastAsia="宋体" w:cs="宋体"/>
                <w:b w:val="0"/>
                <w:i w:val="0"/>
                <w:strike w:val="0"/>
                <w:color w:val="000000"/>
                <w:sz w:val="20"/>
                <w:szCs w:val="20"/>
              </w:rPr>
              <w:t>处罚依据:《娱乐场所管理条例》第四十九条: 娱乐场所违反本条例规定, 有下列情形之一的, 由县级人民政府文</w:t>
            </w:r>
            <w:r>
              <w:rPr>
                <w:rFonts w:hint="eastAsia" w:ascii="宋体" w:hAnsi="宋体" w:eastAsia="宋体" w:cs="宋体"/>
                <w:b w:val="0"/>
                <w:i w:val="0"/>
                <w:strike w:val="0"/>
                <w:color w:val="000000"/>
                <w:sz w:val="20"/>
                <w:szCs w:val="20"/>
                <w:lang w:eastAsia="zh-CN"/>
              </w:rPr>
              <w:t>化</w:t>
            </w:r>
            <w:r>
              <w:rPr>
                <w:rFonts w:ascii="宋体" w:hAnsi="宋体" w:eastAsia="宋体" w:cs="宋体"/>
                <w:b w:val="0"/>
                <w:i w:val="0"/>
                <w:strike w:val="0"/>
                <w:color w:val="000000"/>
                <w:sz w:val="20"/>
                <w:szCs w:val="20"/>
              </w:rPr>
              <w:t>主管部门责令改正,给予警告;情节严重的, 责令停业整顿1个月至3个月:(三) 从业人员在营业期间未统一着装并佩带工作标志的。</w:t>
            </w:r>
          </w:p>
          <w:p w14:paraId="7D950842">
            <w:pPr>
              <w:wordWrap w:val="0"/>
              <w:spacing w:before="0" w:after="0" w:line="160" w:lineRule="atLeast"/>
              <w:ind w:left="0" w:right="0"/>
              <w:jc w:val="left"/>
              <w:textAlignment w:val="baseline"/>
              <w:rPr>
                <w:rFonts w:ascii="宋体" w:hAnsi="宋体" w:eastAsia="宋体" w:cs="宋体"/>
                <w:b w:val="0"/>
                <w:i w:val="0"/>
                <w:strike w:val="0"/>
                <w:color w:val="000000"/>
                <w:sz w:val="20"/>
                <w:szCs w:val="20"/>
              </w:rPr>
            </w:pPr>
            <w:r>
              <w:rPr>
                <w:rFonts w:ascii="宋体" w:hAnsi="宋体" w:eastAsia="宋体" w:cs="宋体"/>
                <w:b w:val="0"/>
                <w:i w:val="0"/>
                <w:strike w:val="0"/>
                <w:color w:val="000000"/>
                <w:sz w:val="20"/>
                <w:szCs w:val="20"/>
              </w:rPr>
              <w:t>首违免罚依据:《中华人民共和国行政处罚法》第三十三条违法行为轻微并及时改正,没有造成危害后果的,不予行政处罚。初次违法且危害后果轻微并及时改正的,可以不予行政处罚。</w:t>
            </w:r>
          </w:p>
        </w:tc>
        <w:tc>
          <w:tcPr>
            <w:tcW w:w="2945" w:type="dxa"/>
            <w:vAlign w:val="center"/>
          </w:tcPr>
          <w:p w14:paraId="62259B55">
            <w:pPr>
              <w:wordWrap w:val="0"/>
              <w:spacing w:before="0" w:after="0" w:line="160" w:lineRule="atLeast"/>
              <w:ind w:left="0" w:right="0"/>
              <w:jc w:val="left"/>
              <w:textAlignment w:val="baseline"/>
              <w:rPr>
                <w:rFonts w:ascii="宋体" w:hAnsi="宋体" w:eastAsia="宋体" w:cs="宋体"/>
                <w:b w:val="0"/>
                <w:i w:val="0"/>
                <w:strike w:val="0"/>
                <w:color w:val="000000"/>
                <w:sz w:val="20"/>
                <w:szCs w:val="20"/>
              </w:rPr>
            </w:pPr>
            <w:r>
              <w:rPr>
                <w:rFonts w:ascii="宋体" w:hAnsi="宋体" w:eastAsia="宋体" w:cs="宋体"/>
                <w:b w:val="0"/>
                <w:i w:val="0"/>
                <w:strike w:val="0"/>
                <w:color w:val="000000"/>
                <w:sz w:val="20"/>
                <w:szCs w:val="20"/>
              </w:rPr>
              <w:t>初次违法且危害后果轻微,并及时改正的。</w:t>
            </w:r>
          </w:p>
        </w:tc>
        <w:tc>
          <w:tcPr>
            <w:tcW w:w="796" w:type="dxa"/>
            <w:vMerge w:val="continue"/>
          </w:tcPr>
          <w:p w14:paraId="3EA3BF80">
            <w:pPr>
              <w:rPr>
                <w:sz w:val="22"/>
                <w:szCs w:val="24"/>
              </w:rPr>
            </w:pPr>
          </w:p>
        </w:tc>
      </w:tr>
      <w:tr w14:paraId="551324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560" w:hRule="atLeast"/>
          <w:jc w:val="center"/>
        </w:trPr>
        <w:tc>
          <w:tcPr>
            <w:tcW w:w="708" w:type="dxa"/>
            <w:vAlign w:val="center"/>
          </w:tcPr>
          <w:p w14:paraId="50225887">
            <w:pPr>
              <w:wordWrap w:val="0"/>
              <w:spacing w:before="0" w:after="0" w:line="160" w:lineRule="atLeast"/>
              <w:ind w:left="0" w:right="0"/>
              <w:jc w:val="center"/>
              <w:textAlignment w:val="baseline"/>
              <w:rPr>
                <w:sz w:val="32"/>
                <w:szCs w:val="32"/>
              </w:rPr>
            </w:pPr>
            <w:r>
              <w:rPr>
                <w:rFonts w:ascii="宋体" w:hAnsi="宋体" w:eastAsia="宋体" w:cs="宋体"/>
                <w:b w:val="0"/>
                <w:i w:val="0"/>
                <w:strike w:val="0"/>
                <w:color w:val="000000"/>
                <w:sz w:val="32"/>
                <w:szCs w:val="32"/>
              </w:rPr>
              <w:t>5</w:t>
            </w:r>
          </w:p>
        </w:tc>
        <w:tc>
          <w:tcPr>
            <w:tcW w:w="1499" w:type="dxa"/>
            <w:vAlign w:val="center"/>
          </w:tcPr>
          <w:p w14:paraId="79A89C50">
            <w:pPr>
              <w:wordWrap w:val="0"/>
              <w:spacing w:before="0" w:after="0" w:line="160" w:lineRule="atLeast"/>
              <w:ind w:left="0" w:right="0"/>
              <w:jc w:val="left"/>
              <w:textAlignment w:val="baseline"/>
              <w:rPr>
                <w:rFonts w:ascii="宋体" w:hAnsi="宋体" w:eastAsia="宋体" w:cs="宋体"/>
                <w:b w:val="0"/>
                <w:i w:val="0"/>
                <w:strike w:val="0"/>
                <w:color w:val="000000"/>
                <w:sz w:val="20"/>
                <w:szCs w:val="20"/>
              </w:rPr>
            </w:pPr>
            <w:r>
              <w:rPr>
                <w:rFonts w:hint="eastAsia" w:ascii="宋体" w:hAnsi="宋体" w:eastAsia="宋体" w:cs="宋体"/>
                <w:b w:val="0"/>
                <w:i w:val="0"/>
                <w:strike w:val="0"/>
                <w:color w:val="000000"/>
                <w:sz w:val="20"/>
                <w:szCs w:val="20"/>
                <w:lang w:val="en-US" w:eastAsia="zh-CN"/>
              </w:rPr>
              <w:t>大安市</w:t>
            </w:r>
            <w:r>
              <w:rPr>
                <w:rFonts w:ascii="宋体" w:hAnsi="宋体" w:eastAsia="宋体" w:cs="宋体"/>
                <w:b w:val="0"/>
                <w:i w:val="0"/>
                <w:strike w:val="0"/>
                <w:color w:val="000000"/>
                <w:sz w:val="20"/>
                <w:szCs w:val="20"/>
              </w:rPr>
              <w:t>文化广播电视和旅游局</w:t>
            </w:r>
          </w:p>
        </w:tc>
        <w:tc>
          <w:tcPr>
            <w:tcW w:w="2388" w:type="dxa"/>
            <w:vAlign w:val="center"/>
          </w:tcPr>
          <w:p w14:paraId="4EBCF0DD">
            <w:pPr>
              <w:wordWrap w:val="0"/>
              <w:spacing w:before="0" w:after="0" w:line="160" w:lineRule="atLeast"/>
              <w:ind w:left="0" w:right="0"/>
              <w:jc w:val="left"/>
              <w:textAlignment w:val="baseline"/>
              <w:rPr>
                <w:rFonts w:ascii="宋体" w:hAnsi="宋体" w:eastAsia="宋体" w:cs="宋体"/>
                <w:b w:val="0"/>
                <w:i w:val="0"/>
                <w:strike w:val="0"/>
                <w:color w:val="000000"/>
                <w:sz w:val="20"/>
                <w:szCs w:val="20"/>
              </w:rPr>
            </w:pPr>
            <w:r>
              <w:rPr>
                <w:rFonts w:ascii="宋体" w:hAnsi="宋体" w:eastAsia="宋体" w:cs="宋体"/>
                <w:b w:val="0"/>
                <w:i w:val="0"/>
                <w:strike w:val="0"/>
                <w:color w:val="000000"/>
                <w:sz w:val="20"/>
                <w:szCs w:val="20"/>
              </w:rPr>
              <w:t>娱乐场所未按照《娱乐场所管理条例》规定悬挂警示标志</w:t>
            </w:r>
          </w:p>
        </w:tc>
        <w:tc>
          <w:tcPr>
            <w:tcW w:w="5889" w:type="dxa"/>
            <w:vAlign w:val="center"/>
          </w:tcPr>
          <w:p w14:paraId="42BAC583">
            <w:pPr>
              <w:wordWrap w:val="0"/>
              <w:spacing w:before="0" w:after="0" w:line="160" w:lineRule="atLeast"/>
              <w:ind w:left="0" w:right="0"/>
              <w:jc w:val="left"/>
              <w:textAlignment w:val="baseline"/>
              <w:rPr>
                <w:rFonts w:ascii="宋体" w:hAnsi="宋体" w:eastAsia="宋体" w:cs="宋体"/>
                <w:b w:val="0"/>
                <w:i w:val="0"/>
                <w:strike w:val="0"/>
                <w:color w:val="000000"/>
                <w:sz w:val="20"/>
                <w:szCs w:val="20"/>
              </w:rPr>
            </w:pPr>
            <w:r>
              <w:rPr>
                <w:rFonts w:ascii="宋体" w:hAnsi="宋体" w:eastAsia="宋体" w:cs="宋体"/>
                <w:b w:val="0"/>
                <w:i w:val="0"/>
                <w:strike w:val="0"/>
                <w:color w:val="000000"/>
                <w:sz w:val="20"/>
                <w:szCs w:val="20"/>
              </w:rPr>
              <w:t>处罚依据:《娱乐场所管理条例》第五十一条: 娱乐场所未按照本条例规定悬挂警示标志、未成年人禁入或者限入标志的,由县级人民政府文化主管部门、县级公安部门依据法定职权责令改正, 给予警告。</w:t>
            </w:r>
          </w:p>
          <w:p w14:paraId="671840A2">
            <w:pPr>
              <w:wordWrap w:val="0"/>
              <w:spacing w:before="0" w:after="0" w:line="160" w:lineRule="atLeast"/>
              <w:ind w:left="0" w:right="0"/>
              <w:jc w:val="left"/>
              <w:textAlignment w:val="baseline"/>
              <w:rPr>
                <w:rFonts w:ascii="宋体" w:hAnsi="宋体" w:eastAsia="宋体" w:cs="宋体"/>
                <w:b w:val="0"/>
                <w:i w:val="0"/>
                <w:strike w:val="0"/>
                <w:color w:val="000000"/>
                <w:sz w:val="20"/>
                <w:szCs w:val="20"/>
              </w:rPr>
            </w:pPr>
            <w:r>
              <w:rPr>
                <w:rFonts w:ascii="宋体" w:hAnsi="宋体" w:eastAsia="宋体" w:cs="宋体"/>
                <w:b w:val="0"/>
                <w:i w:val="0"/>
                <w:strike w:val="0"/>
                <w:color w:val="000000"/>
                <w:sz w:val="20"/>
                <w:szCs w:val="20"/>
              </w:rPr>
              <w:t>首违免罚依据:《中华人民共和国行政处罚法》第三十三条违法行为轻微并及时改正,没有造成危害后果的,不予行政处罚。初次违法且危害后果轻微并及时改正的,可以不予行政处罚。</w:t>
            </w:r>
          </w:p>
        </w:tc>
        <w:tc>
          <w:tcPr>
            <w:tcW w:w="2945" w:type="dxa"/>
            <w:vAlign w:val="center"/>
          </w:tcPr>
          <w:p w14:paraId="5D4D5B19">
            <w:pPr>
              <w:wordWrap w:val="0"/>
              <w:spacing w:before="0" w:after="0" w:line="160" w:lineRule="atLeast"/>
              <w:ind w:left="0" w:right="0"/>
              <w:jc w:val="left"/>
              <w:textAlignment w:val="baseline"/>
              <w:rPr>
                <w:rFonts w:ascii="宋体" w:hAnsi="宋体" w:eastAsia="宋体" w:cs="宋体"/>
                <w:b w:val="0"/>
                <w:i w:val="0"/>
                <w:strike w:val="0"/>
                <w:color w:val="000000"/>
                <w:sz w:val="20"/>
                <w:szCs w:val="20"/>
              </w:rPr>
            </w:pPr>
            <w:r>
              <w:rPr>
                <w:rFonts w:ascii="宋体" w:hAnsi="宋体" w:eastAsia="宋体" w:cs="宋体"/>
                <w:b w:val="0"/>
                <w:i w:val="0"/>
                <w:strike w:val="0"/>
                <w:color w:val="000000"/>
                <w:sz w:val="20"/>
                <w:szCs w:val="20"/>
              </w:rPr>
              <w:t>初次违法且危害后果轻微,并及时改正的。</w:t>
            </w:r>
          </w:p>
        </w:tc>
        <w:tc>
          <w:tcPr>
            <w:tcW w:w="796" w:type="dxa"/>
            <w:vMerge w:val="continue"/>
          </w:tcPr>
          <w:p w14:paraId="66E6FC83">
            <w:pPr>
              <w:rPr>
                <w:sz w:val="22"/>
                <w:szCs w:val="24"/>
              </w:rPr>
            </w:pPr>
          </w:p>
        </w:tc>
      </w:tr>
      <w:tr w14:paraId="53729B9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560" w:hRule="atLeast"/>
          <w:jc w:val="center"/>
        </w:trPr>
        <w:tc>
          <w:tcPr>
            <w:tcW w:w="708" w:type="dxa"/>
            <w:vAlign w:val="center"/>
          </w:tcPr>
          <w:p w14:paraId="33AF2427">
            <w:pPr>
              <w:wordWrap w:val="0"/>
              <w:spacing w:before="0" w:after="0" w:line="160" w:lineRule="atLeast"/>
              <w:ind w:left="0" w:right="0"/>
              <w:jc w:val="center"/>
              <w:textAlignment w:val="baseline"/>
              <w:rPr>
                <w:sz w:val="32"/>
                <w:szCs w:val="32"/>
              </w:rPr>
            </w:pPr>
            <w:r>
              <w:rPr>
                <w:rFonts w:ascii="宋体" w:hAnsi="宋体" w:eastAsia="宋体" w:cs="宋体"/>
                <w:b w:val="0"/>
                <w:i w:val="0"/>
                <w:strike w:val="0"/>
                <w:color w:val="000000"/>
                <w:sz w:val="32"/>
                <w:szCs w:val="32"/>
              </w:rPr>
              <w:t>6</w:t>
            </w:r>
          </w:p>
        </w:tc>
        <w:tc>
          <w:tcPr>
            <w:tcW w:w="1499" w:type="dxa"/>
            <w:vAlign w:val="center"/>
          </w:tcPr>
          <w:p w14:paraId="321F4C24">
            <w:pPr>
              <w:wordWrap w:val="0"/>
              <w:spacing w:before="0" w:after="0" w:line="160" w:lineRule="atLeast"/>
              <w:ind w:left="0" w:right="0"/>
              <w:jc w:val="left"/>
              <w:textAlignment w:val="baseline"/>
              <w:rPr>
                <w:rFonts w:ascii="宋体" w:hAnsi="宋体" w:eastAsia="宋体" w:cs="宋体"/>
                <w:b w:val="0"/>
                <w:i w:val="0"/>
                <w:strike w:val="0"/>
                <w:color w:val="000000"/>
                <w:sz w:val="20"/>
                <w:szCs w:val="20"/>
              </w:rPr>
            </w:pPr>
            <w:r>
              <w:rPr>
                <w:rFonts w:hint="eastAsia" w:ascii="宋体" w:hAnsi="宋体" w:eastAsia="宋体" w:cs="宋体"/>
                <w:b w:val="0"/>
                <w:i w:val="0"/>
                <w:strike w:val="0"/>
                <w:color w:val="000000"/>
                <w:sz w:val="20"/>
                <w:szCs w:val="20"/>
                <w:lang w:val="en-US" w:eastAsia="zh-CN"/>
              </w:rPr>
              <w:t>大安市</w:t>
            </w:r>
            <w:r>
              <w:rPr>
                <w:rFonts w:ascii="宋体" w:hAnsi="宋体" w:eastAsia="宋体" w:cs="宋体"/>
                <w:b w:val="0"/>
                <w:i w:val="0"/>
                <w:strike w:val="0"/>
                <w:color w:val="000000"/>
                <w:sz w:val="20"/>
                <w:szCs w:val="20"/>
              </w:rPr>
              <w:t>文化广播电视和旅游局</w:t>
            </w:r>
          </w:p>
        </w:tc>
        <w:tc>
          <w:tcPr>
            <w:tcW w:w="2388" w:type="dxa"/>
            <w:vAlign w:val="center"/>
          </w:tcPr>
          <w:p w14:paraId="6E0653E9">
            <w:pPr>
              <w:wordWrap w:val="0"/>
              <w:spacing w:before="0" w:after="0" w:line="160" w:lineRule="atLeast"/>
              <w:ind w:left="0" w:right="0"/>
              <w:jc w:val="left"/>
              <w:textAlignment w:val="baseline"/>
              <w:rPr>
                <w:rFonts w:ascii="宋体" w:hAnsi="宋体" w:eastAsia="宋体" w:cs="宋体"/>
                <w:b w:val="0"/>
                <w:i w:val="0"/>
                <w:strike w:val="0"/>
                <w:color w:val="000000"/>
                <w:sz w:val="20"/>
                <w:szCs w:val="20"/>
              </w:rPr>
            </w:pPr>
            <w:r>
              <w:rPr>
                <w:rFonts w:ascii="宋体" w:hAnsi="宋体" w:eastAsia="宋体" w:cs="宋体"/>
                <w:b w:val="0"/>
                <w:i w:val="0"/>
                <w:strike w:val="0"/>
                <w:color w:val="000000"/>
                <w:sz w:val="20"/>
                <w:szCs w:val="20"/>
              </w:rPr>
              <w:t>娱乐场所未按照条例规定建立从业人员名簿、营业日志</w:t>
            </w:r>
          </w:p>
        </w:tc>
        <w:tc>
          <w:tcPr>
            <w:tcW w:w="5889" w:type="dxa"/>
            <w:vAlign w:val="center"/>
          </w:tcPr>
          <w:p w14:paraId="1CA573E6">
            <w:pPr>
              <w:wordWrap w:val="0"/>
              <w:spacing w:before="0" w:after="0" w:line="160" w:lineRule="atLeast"/>
              <w:ind w:left="0" w:right="0"/>
              <w:jc w:val="left"/>
              <w:textAlignment w:val="baseline"/>
              <w:rPr>
                <w:rFonts w:ascii="宋体" w:hAnsi="宋体" w:eastAsia="宋体" w:cs="宋体"/>
                <w:b w:val="0"/>
                <w:i w:val="0"/>
                <w:strike w:val="0"/>
                <w:color w:val="000000"/>
                <w:sz w:val="20"/>
                <w:szCs w:val="20"/>
              </w:rPr>
            </w:pPr>
            <w:r>
              <w:rPr>
                <w:rFonts w:ascii="宋体" w:hAnsi="宋体" w:eastAsia="宋体" w:cs="宋体"/>
                <w:b w:val="0"/>
                <w:i w:val="0"/>
                <w:strike w:val="0"/>
                <w:color w:val="000000"/>
                <w:sz w:val="20"/>
                <w:szCs w:val="20"/>
              </w:rPr>
              <w:t>处罚依据:《娱乐场所管理条例》第五十条娱乐场所未按照本条例规定建立从业人员名簿、营业日志,或者发现违法犯罪行为未按照本条例规定报告的, 由县级人民政府文化主管部门、县级公安部门依据法定职权责令改正, 给予警告; 情节严重的, 责令停业整顿1个月至3个月。</w:t>
            </w:r>
          </w:p>
          <w:p w14:paraId="3FD4D40A">
            <w:pPr>
              <w:wordWrap w:val="0"/>
              <w:spacing w:before="0" w:after="0" w:line="160" w:lineRule="atLeast"/>
              <w:ind w:left="0" w:right="0"/>
              <w:jc w:val="left"/>
              <w:textAlignment w:val="baseline"/>
              <w:rPr>
                <w:rFonts w:ascii="宋体" w:hAnsi="宋体" w:eastAsia="宋体" w:cs="宋体"/>
                <w:b w:val="0"/>
                <w:i w:val="0"/>
                <w:strike w:val="0"/>
                <w:color w:val="000000"/>
                <w:sz w:val="20"/>
                <w:szCs w:val="20"/>
              </w:rPr>
            </w:pPr>
            <w:r>
              <w:rPr>
                <w:rFonts w:ascii="宋体" w:hAnsi="宋体" w:eastAsia="宋体" w:cs="宋体"/>
                <w:b w:val="0"/>
                <w:i w:val="0"/>
                <w:strike w:val="0"/>
                <w:color w:val="000000"/>
                <w:sz w:val="20"/>
                <w:szCs w:val="20"/>
              </w:rPr>
              <w:t>首违免罚依据:《中华人民共和国行政处罚法》第三十三条违法行为轻微并及时改正,没有造成危害后果的, 不予行政处罚。初次违法且危害后果轻微并及时改正的, 可以不予行政处罚。</w:t>
            </w:r>
          </w:p>
        </w:tc>
        <w:tc>
          <w:tcPr>
            <w:tcW w:w="2945" w:type="dxa"/>
            <w:vAlign w:val="center"/>
          </w:tcPr>
          <w:p w14:paraId="4E7EC283">
            <w:pPr>
              <w:wordWrap w:val="0"/>
              <w:spacing w:before="0" w:after="0" w:line="160" w:lineRule="atLeast"/>
              <w:ind w:left="0" w:right="0"/>
              <w:jc w:val="left"/>
              <w:textAlignment w:val="baseline"/>
              <w:rPr>
                <w:rFonts w:ascii="宋体" w:hAnsi="宋体" w:eastAsia="宋体" w:cs="宋体"/>
                <w:b w:val="0"/>
                <w:i w:val="0"/>
                <w:strike w:val="0"/>
                <w:color w:val="000000"/>
                <w:sz w:val="20"/>
                <w:szCs w:val="20"/>
              </w:rPr>
            </w:pPr>
            <w:r>
              <w:rPr>
                <w:rFonts w:ascii="宋体" w:hAnsi="宋体" w:eastAsia="宋体" w:cs="宋体"/>
                <w:b w:val="0"/>
                <w:i w:val="0"/>
                <w:strike w:val="0"/>
                <w:color w:val="000000"/>
                <w:sz w:val="20"/>
                <w:szCs w:val="20"/>
              </w:rPr>
              <w:t>初次违法且危害后果轻微,并及时改正的。</w:t>
            </w:r>
          </w:p>
        </w:tc>
        <w:tc>
          <w:tcPr>
            <w:tcW w:w="796" w:type="dxa"/>
            <w:vMerge w:val="continue"/>
          </w:tcPr>
          <w:p w14:paraId="4134BC00">
            <w:pPr>
              <w:rPr>
                <w:sz w:val="22"/>
                <w:szCs w:val="24"/>
              </w:rPr>
            </w:pPr>
          </w:p>
        </w:tc>
      </w:tr>
      <w:tr w14:paraId="557924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10" w:hRule="atLeast"/>
          <w:jc w:val="center"/>
        </w:trPr>
        <w:tc>
          <w:tcPr>
            <w:tcW w:w="708" w:type="dxa"/>
            <w:vAlign w:val="center"/>
          </w:tcPr>
          <w:p w14:paraId="131CB74F">
            <w:pPr>
              <w:wordWrap w:val="0"/>
              <w:spacing w:before="0" w:after="0" w:line="160" w:lineRule="atLeast"/>
              <w:ind w:left="0" w:right="0"/>
              <w:jc w:val="center"/>
              <w:textAlignment w:val="baseline"/>
              <w:rPr>
                <w:sz w:val="32"/>
                <w:szCs w:val="32"/>
              </w:rPr>
            </w:pPr>
            <w:r>
              <w:rPr>
                <w:rFonts w:ascii="宋体" w:hAnsi="宋体" w:eastAsia="宋体" w:cs="宋体"/>
                <w:b w:val="0"/>
                <w:i w:val="0"/>
                <w:strike w:val="0"/>
                <w:color w:val="000000"/>
                <w:sz w:val="32"/>
                <w:szCs w:val="32"/>
              </w:rPr>
              <w:t>7</w:t>
            </w:r>
          </w:p>
        </w:tc>
        <w:tc>
          <w:tcPr>
            <w:tcW w:w="1499" w:type="dxa"/>
            <w:vAlign w:val="center"/>
          </w:tcPr>
          <w:p w14:paraId="50530767">
            <w:pPr>
              <w:wordWrap w:val="0"/>
              <w:spacing w:before="0" w:after="0" w:line="160" w:lineRule="atLeast"/>
              <w:ind w:left="0" w:right="0"/>
              <w:jc w:val="left"/>
              <w:textAlignment w:val="baseline"/>
              <w:rPr>
                <w:rFonts w:ascii="宋体" w:hAnsi="宋体" w:eastAsia="宋体" w:cs="宋体"/>
                <w:b w:val="0"/>
                <w:i w:val="0"/>
                <w:strike w:val="0"/>
                <w:color w:val="000000"/>
                <w:sz w:val="20"/>
                <w:szCs w:val="20"/>
              </w:rPr>
            </w:pPr>
            <w:r>
              <w:rPr>
                <w:rFonts w:hint="eastAsia" w:ascii="宋体" w:hAnsi="宋体" w:eastAsia="宋体" w:cs="宋体"/>
                <w:b w:val="0"/>
                <w:i w:val="0"/>
                <w:strike w:val="0"/>
                <w:color w:val="000000"/>
                <w:sz w:val="20"/>
                <w:szCs w:val="20"/>
                <w:lang w:val="en-US" w:eastAsia="zh-CN"/>
              </w:rPr>
              <w:t>大安市</w:t>
            </w:r>
            <w:r>
              <w:rPr>
                <w:rFonts w:ascii="宋体" w:hAnsi="宋体" w:eastAsia="宋体" w:cs="宋体"/>
                <w:b w:val="0"/>
                <w:i w:val="0"/>
                <w:strike w:val="0"/>
                <w:color w:val="000000"/>
                <w:sz w:val="20"/>
                <w:szCs w:val="20"/>
              </w:rPr>
              <w:t>文化广播电视和旅游局</w:t>
            </w:r>
          </w:p>
        </w:tc>
        <w:tc>
          <w:tcPr>
            <w:tcW w:w="2388" w:type="dxa"/>
            <w:vAlign w:val="center"/>
          </w:tcPr>
          <w:p w14:paraId="652FF48B">
            <w:pPr>
              <w:wordWrap w:val="0"/>
              <w:spacing w:before="0" w:after="0" w:line="160" w:lineRule="atLeast"/>
              <w:ind w:left="0" w:right="0"/>
              <w:jc w:val="left"/>
              <w:textAlignment w:val="baseline"/>
              <w:rPr>
                <w:rFonts w:ascii="宋体" w:hAnsi="宋体" w:eastAsia="宋体" w:cs="宋体"/>
                <w:b w:val="0"/>
                <w:i w:val="0"/>
                <w:strike w:val="0"/>
                <w:color w:val="000000"/>
                <w:sz w:val="20"/>
                <w:szCs w:val="20"/>
              </w:rPr>
            </w:pPr>
            <w:r>
              <w:rPr>
                <w:rFonts w:ascii="宋体" w:hAnsi="宋体" w:eastAsia="宋体" w:cs="宋体"/>
                <w:b w:val="0"/>
                <w:i w:val="0"/>
                <w:strike w:val="0"/>
                <w:color w:val="000000"/>
                <w:sz w:val="20"/>
                <w:szCs w:val="20"/>
              </w:rPr>
              <w:t>对娱乐场所未按规定在显著位置悬挂娱乐经营许可证行为的行政处罚</w:t>
            </w:r>
          </w:p>
        </w:tc>
        <w:tc>
          <w:tcPr>
            <w:tcW w:w="5889" w:type="dxa"/>
            <w:vAlign w:val="center"/>
          </w:tcPr>
          <w:p w14:paraId="010DE9F6">
            <w:pPr>
              <w:wordWrap w:val="0"/>
              <w:spacing w:before="0" w:after="0" w:line="160" w:lineRule="atLeast"/>
              <w:ind w:left="0" w:right="0"/>
              <w:jc w:val="left"/>
              <w:textAlignment w:val="baseline"/>
              <w:rPr>
                <w:rFonts w:ascii="宋体" w:hAnsi="宋体" w:eastAsia="宋体" w:cs="宋体"/>
                <w:b w:val="0"/>
                <w:i w:val="0"/>
                <w:strike w:val="0"/>
                <w:color w:val="000000"/>
                <w:sz w:val="20"/>
                <w:szCs w:val="20"/>
              </w:rPr>
            </w:pPr>
            <w:r>
              <w:rPr>
                <w:rFonts w:ascii="宋体" w:hAnsi="宋体" w:eastAsia="宋体" w:cs="宋体"/>
                <w:b w:val="0"/>
                <w:i w:val="0"/>
                <w:strike w:val="0"/>
                <w:color w:val="000000"/>
                <w:sz w:val="20"/>
                <w:szCs w:val="20"/>
              </w:rPr>
              <w:t>处罚依据:《娱乐场所管理办法》第二十四条娱乐场所应当在显著位置悬挂娱乐经营许可证、未成年人禁入或者限入标志,标志应当注明举报电话。第三十三条娱乐场所违反本办法第二十四条规定的,由县级以上人民政府文化主管部门责令改正,予以警告。</w:t>
            </w:r>
          </w:p>
          <w:p w14:paraId="362E6418">
            <w:pPr>
              <w:wordWrap w:val="0"/>
              <w:spacing w:before="0" w:after="0" w:line="160" w:lineRule="atLeast"/>
              <w:ind w:left="0" w:right="0"/>
              <w:jc w:val="left"/>
              <w:textAlignment w:val="baseline"/>
              <w:rPr>
                <w:rFonts w:ascii="宋体" w:hAnsi="宋体" w:eastAsia="宋体" w:cs="宋体"/>
                <w:b w:val="0"/>
                <w:i w:val="0"/>
                <w:strike w:val="0"/>
                <w:color w:val="000000"/>
                <w:sz w:val="20"/>
                <w:szCs w:val="20"/>
              </w:rPr>
            </w:pPr>
            <w:r>
              <w:rPr>
                <w:rFonts w:ascii="宋体" w:hAnsi="宋体" w:eastAsia="宋体" w:cs="宋体"/>
                <w:b w:val="0"/>
                <w:i w:val="0"/>
                <w:strike w:val="0"/>
                <w:color w:val="000000"/>
                <w:sz w:val="20"/>
                <w:szCs w:val="20"/>
              </w:rPr>
              <w:t>首违免罚依据:《中华人民共和国行政处罚法》第三十三条违法行为轻微并及时改正, 没有造成危害后果的,不予行政处罚。初次违法且危害后果轻微并及时改正的,可以不予行政处罚。</w:t>
            </w:r>
          </w:p>
        </w:tc>
        <w:tc>
          <w:tcPr>
            <w:tcW w:w="2945" w:type="dxa"/>
            <w:vAlign w:val="center"/>
          </w:tcPr>
          <w:p w14:paraId="612DE42E">
            <w:pPr>
              <w:wordWrap w:val="0"/>
              <w:spacing w:before="0" w:after="0" w:line="160" w:lineRule="atLeast"/>
              <w:ind w:left="0" w:right="0"/>
              <w:jc w:val="left"/>
              <w:textAlignment w:val="baseline"/>
              <w:rPr>
                <w:rFonts w:ascii="宋体" w:hAnsi="宋体" w:eastAsia="宋体" w:cs="宋体"/>
                <w:b w:val="0"/>
                <w:i w:val="0"/>
                <w:strike w:val="0"/>
                <w:color w:val="000000"/>
                <w:sz w:val="20"/>
                <w:szCs w:val="20"/>
              </w:rPr>
            </w:pPr>
            <w:r>
              <w:rPr>
                <w:rFonts w:ascii="宋体" w:hAnsi="宋体" w:eastAsia="宋体" w:cs="宋体"/>
                <w:b w:val="0"/>
                <w:i w:val="0"/>
                <w:strike w:val="0"/>
                <w:color w:val="000000"/>
                <w:sz w:val="20"/>
                <w:szCs w:val="20"/>
              </w:rPr>
              <w:t>初次违法且危害后果轻微,并及时改正的。</w:t>
            </w:r>
          </w:p>
        </w:tc>
        <w:tc>
          <w:tcPr>
            <w:tcW w:w="796" w:type="dxa"/>
            <w:vMerge w:val="continue"/>
          </w:tcPr>
          <w:p w14:paraId="4C9E1C42">
            <w:pPr>
              <w:rPr>
                <w:sz w:val="22"/>
                <w:szCs w:val="24"/>
              </w:rPr>
            </w:pPr>
          </w:p>
        </w:tc>
      </w:tr>
    </w:tbl>
    <w:p w14:paraId="0ED36859">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1ZDIxOGJjZjE4ZDVjZmRhMjU0M2I5OWVhNzkxYmYifQ=="/>
  </w:docVars>
  <w:rsids>
    <w:rsidRoot w:val="00000000"/>
    <w:rsid w:val="31F316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2024-08-26T08:23:06Z</dcterms:created>
  <dc:creator>Administrator</dc:creator>
  <cp:lastModifiedBy>卓越篮球训练营（张教练）</cp:lastModifiedBy>
  <dcterms:modified xsi:type="dcterms:W3CDTF">2024-08-26T08:23:54Z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B1FC37EBD49242E0ACBCF4DD973DD585_12</vt:lpwstr>
  </property>
</Properties>
</file>